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2177F">
      <w:pPr>
        <w:kinsoku w:val="0"/>
        <w:overflowPunct w:val="0"/>
        <w:autoSpaceDE/>
        <w:autoSpaceDN/>
        <w:adjustRightInd/>
        <w:spacing w:line="259" w:lineRule="exact"/>
        <w:jc w:val="center"/>
        <w:textAlignment w:val="baseline"/>
        <w:rPr>
          <w:rFonts w:ascii="Tahoma" w:hAnsi="Tahoma" w:cs="Tahoma"/>
          <w:b/>
          <w:bCs/>
          <w:spacing w:val="-6"/>
          <w:sz w:val="22"/>
          <w:szCs w:val="22"/>
          <w:lang w:val="es-ES" w:eastAsia="es-ES"/>
        </w:rPr>
      </w:pPr>
      <w:r>
        <w:rPr>
          <w:rFonts w:ascii="Tahoma" w:hAnsi="Tahoma" w:cs="Tahoma"/>
          <w:b/>
          <w:bCs/>
          <w:spacing w:val="-6"/>
          <w:sz w:val="22"/>
          <w:szCs w:val="22"/>
          <w:lang w:val="es-ES" w:eastAsia="es-ES"/>
        </w:rPr>
        <w:t>RESOLUCIÓN No. TAT-2509-2015</w:t>
      </w:r>
    </w:p>
    <w:p w:rsidR="00000000" w:rsidRDefault="00C2177F">
      <w:pPr>
        <w:kinsoku w:val="0"/>
        <w:overflowPunct w:val="0"/>
        <w:autoSpaceDE/>
        <w:autoSpaceDN/>
        <w:adjustRightInd/>
        <w:spacing w:before="656" w:line="276" w:lineRule="exact"/>
        <w:jc w:val="center"/>
        <w:textAlignment w:val="baseline"/>
        <w:rPr>
          <w:rFonts w:ascii="Tahoma" w:hAnsi="Tahoma" w:cs="Tahoma"/>
          <w:spacing w:val="8"/>
          <w:sz w:val="22"/>
          <w:szCs w:val="22"/>
          <w:lang w:val="es-ES" w:eastAsia="es-ES"/>
        </w:rPr>
      </w:pPr>
      <w:r>
        <w:rPr>
          <w:rFonts w:ascii="Tahoma" w:hAnsi="Tahoma" w:cs="Tahoma"/>
          <w:b/>
          <w:bCs/>
          <w:spacing w:val="8"/>
          <w:sz w:val="22"/>
          <w:szCs w:val="22"/>
          <w:lang w:val="es-ES" w:eastAsia="es-ES"/>
        </w:rPr>
        <w:t xml:space="preserve">TRIBUNAL ADMINISTRATIVO DE TRANSPORTE.- </w:t>
      </w:r>
      <w:r>
        <w:rPr>
          <w:rFonts w:ascii="Tahoma" w:hAnsi="Tahoma" w:cs="Tahoma"/>
          <w:spacing w:val="8"/>
          <w:sz w:val="22"/>
          <w:szCs w:val="22"/>
          <w:lang w:val="es-ES" w:eastAsia="es-ES"/>
        </w:rPr>
        <w:t xml:space="preserve">San José, a las </w:t>
      </w:r>
      <w:r>
        <w:rPr>
          <w:rFonts w:ascii="Tahoma" w:hAnsi="Tahoma" w:cs="Tahoma"/>
          <w:spacing w:val="8"/>
          <w:sz w:val="22"/>
          <w:szCs w:val="22"/>
          <w:lang w:val="es-ES" w:eastAsia="es-ES"/>
        </w:rPr>
        <w:t>10:35 horas</w:t>
      </w:r>
    </w:p>
    <w:p w:rsidR="00000000" w:rsidRDefault="00C2177F">
      <w:pPr>
        <w:tabs>
          <w:tab w:val="left" w:leader="hyphen" w:pos="8640"/>
        </w:tabs>
        <w:kinsoku w:val="0"/>
        <w:overflowPunct w:val="0"/>
        <w:autoSpaceDE/>
        <w:autoSpaceDN/>
        <w:adjustRightInd/>
        <w:spacing w:before="37" w:line="265" w:lineRule="exact"/>
        <w:jc w:val="center"/>
        <w:textAlignment w:val="baseline"/>
        <w:rPr>
          <w:rFonts w:ascii="Tahoma" w:hAnsi="Tahoma" w:cs="Tahoma"/>
          <w:sz w:val="22"/>
          <w:szCs w:val="22"/>
          <w:lang w:val="es-ES" w:eastAsia="es-ES"/>
        </w:rPr>
      </w:pPr>
      <w:proofErr w:type="gramStart"/>
      <w:r>
        <w:rPr>
          <w:rFonts w:ascii="Tahoma" w:hAnsi="Tahoma" w:cs="Tahoma"/>
          <w:sz w:val="22"/>
          <w:szCs w:val="22"/>
          <w:lang w:val="es-ES" w:eastAsia="es-ES"/>
        </w:rPr>
        <w:t>del</w:t>
      </w:r>
      <w:proofErr w:type="gramEnd"/>
      <w:r>
        <w:rPr>
          <w:rFonts w:ascii="Tahoma" w:hAnsi="Tahoma" w:cs="Tahoma"/>
          <w:sz w:val="22"/>
          <w:szCs w:val="22"/>
          <w:lang w:val="es-ES" w:eastAsia="es-ES"/>
        </w:rPr>
        <w:t xml:space="preserve"> día Veintisiete del mes de Marzo del Dos Mil Quince.</w:t>
      </w:r>
      <w:r>
        <w:rPr>
          <w:rFonts w:ascii="Tahoma" w:hAnsi="Tahoma" w:cs="Tahoma"/>
          <w:sz w:val="22"/>
          <w:szCs w:val="22"/>
          <w:lang w:val="es-ES" w:eastAsia="es-ES"/>
        </w:rPr>
        <w:tab/>
      </w:r>
    </w:p>
    <w:p w:rsidR="00000000" w:rsidRDefault="00C2177F">
      <w:pPr>
        <w:kinsoku w:val="0"/>
        <w:overflowPunct w:val="0"/>
        <w:autoSpaceDE/>
        <w:autoSpaceDN/>
        <w:adjustRightInd/>
        <w:spacing w:before="306" w:line="322" w:lineRule="exact"/>
        <w:ind w:right="72"/>
        <w:jc w:val="both"/>
        <w:textAlignment w:val="baseline"/>
        <w:rPr>
          <w:rFonts w:ascii="Tahoma" w:hAnsi="Tahoma" w:cs="Tahoma"/>
          <w:sz w:val="24"/>
          <w:szCs w:val="24"/>
          <w:lang w:eastAsia="en-US"/>
        </w:rPr>
      </w:pPr>
      <w:r>
        <w:rPr>
          <w:rFonts w:ascii="Tahoma" w:hAnsi="Tahoma" w:cs="Tahoma"/>
          <w:spacing w:val="11"/>
          <w:sz w:val="22"/>
          <w:szCs w:val="22"/>
          <w:lang w:val="es-ES" w:eastAsia="es-ES"/>
        </w:rPr>
        <w:t xml:space="preserve">Se conoce por este medio de </w:t>
      </w:r>
      <w:r>
        <w:rPr>
          <w:rFonts w:ascii="Tahoma" w:hAnsi="Tahoma" w:cs="Tahoma"/>
          <w:b/>
          <w:bCs/>
          <w:spacing w:val="11"/>
          <w:sz w:val="22"/>
          <w:szCs w:val="22"/>
          <w:lang w:val="es-ES" w:eastAsia="es-ES"/>
        </w:rPr>
        <w:t xml:space="preserve">RECURSO DE APELACIÓN EN SUBSIDIO </w:t>
      </w:r>
      <w:r>
        <w:rPr>
          <w:rFonts w:ascii="Tahoma" w:hAnsi="Tahoma" w:cs="Tahoma"/>
          <w:spacing w:val="11"/>
          <w:sz w:val="22"/>
          <w:szCs w:val="22"/>
          <w:lang w:val="es-ES" w:eastAsia="es-ES"/>
        </w:rPr>
        <w:t xml:space="preserve">y de </w:t>
      </w:r>
      <w:r>
        <w:rPr>
          <w:rFonts w:ascii="Tahoma" w:hAnsi="Tahoma" w:cs="Tahoma"/>
          <w:b/>
          <w:bCs/>
          <w:spacing w:val="11"/>
          <w:sz w:val="22"/>
          <w:szCs w:val="22"/>
          <w:lang w:val="es-ES" w:eastAsia="es-ES"/>
        </w:rPr>
        <w:t xml:space="preserve">NULIDAD ABSOLUTA CONCOMITANTE, </w:t>
      </w:r>
      <w:r>
        <w:rPr>
          <w:rFonts w:ascii="Tahoma" w:hAnsi="Tahoma" w:cs="Tahoma"/>
          <w:spacing w:val="11"/>
          <w:sz w:val="22"/>
          <w:szCs w:val="22"/>
          <w:lang w:val="es-ES" w:eastAsia="es-ES"/>
        </w:rPr>
        <w:t xml:space="preserve">presentados por la firma </w:t>
      </w:r>
      <w:r>
        <w:rPr>
          <w:rFonts w:ascii="Tahoma" w:hAnsi="Tahoma" w:cs="Tahoma"/>
          <w:b/>
          <w:bCs/>
          <w:spacing w:val="11"/>
          <w:sz w:val="22"/>
          <w:szCs w:val="22"/>
          <w:lang w:val="es-ES" w:eastAsia="es-ES"/>
        </w:rPr>
        <w:t>B</w:t>
      </w:r>
      <w:r w:rsidR="00031364">
        <w:rPr>
          <w:rFonts w:ascii="Tahoma" w:hAnsi="Tahoma" w:cs="Tahoma"/>
          <w:b/>
          <w:bCs/>
          <w:spacing w:val="11"/>
          <w:sz w:val="22"/>
          <w:szCs w:val="22"/>
          <w:lang w:val="es-ES" w:eastAsia="es-ES"/>
        </w:rPr>
        <w:t>.I.U.S.A.</w:t>
      </w:r>
      <w:r>
        <w:rPr>
          <w:rFonts w:ascii="Tahoma" w:hAnsi="Tahoma" w:cs="Tahoma"/>
          <w:b/>
          <w:bCs/>
          <w:spacing w:val="11"/>
          <w:sz w:val="22"/>
          <w:szCs w:val="22"/>
          <w:lang w:val="es-ES" w:eastAsia="es-ES"/>
        </w:rPr>
        <w:t xml:space="preserve">, </w:t>
      </w:r>
      <w:r>
        <w:rPr>
          <w:rFonts w:ascii="Tahoma" w:hAnsi="Tahoma" w:cs="Tahoma"/>
          <w:spacing w:val="11"/>
          <w:sz w:val="22"/>
          <w:szCs w:val="22"/>
          <w:lang w:val="es-ES" w:eastAsia="es-ES"/>
        </w:rPr>
        <w:t>cédula de persona jurí</w:t>
      </w:r>
      <w:r>
        <w:rPr>
          <w:rFonts w:ascii="Tahoma" w:hAnsi="Tahoma" w:cs="Tahoma"/>
          <w:spacing w:val="11"/>
          <w:sz w:val="22"/>
          <w:szCs w:val="22"/>
          <w:lang w:val="es-ES" w:eastAsia="es-ES"/>
        </w:rPr>
        <w:t xml:space="preserve">dica No. </w:t>
      </w:r>
      <w:r w:rsidR="00031364">
        <w:rPr>
          <w:rFonts w:ascii="Tahoma" w:hAnsi="Tahoma" w:cs="Tahoma"/>
          <w:spacing w:val="11"/>
          <w:sz w:val="22"/>
          <w:szCs w:val="22"/>
          <w:lang w:val="es-ES" w:eastAsia="es-ES"/>
        </w:rPr>
        <w:t>…</w:t>
      </w:r>
      <w:r>
        <w:rPr>
          <w:rFonts w:ascii="Tahoma" w:hAnsi="Tahoma" w:cs="Tahoma"/>
          <w:spacing w:val="11"/>
          <w:sz w:val="22"/>
          <w:szCs w:val="22"/>
          <w:lang w:val="es-ES" w:eastAsia="es-ES"/>
        </w:rPr>
        <w:t>, representada a los efectos por el Señor M</w:t>
      </w:r>
      <w:r w:rsidR="00031364">
        <w:rPr>
          <w:rFonts w:ascii="Tahoma" w:hAnsi="Tahoma" w:cs="Tahoma"/>
          <w:spacing w:val="11"/>
          <w:sz w:val="22"/>
          <w:szCs w:val="22"/>
          <w:lang w:val="es-ES" w:eastAsia="es-ES"/>
        </w:rPr>
        <w:t>.S.S.K.</w:t>
      </w:r>
      <w:r>
        <w:rPr>
          <w:rFonts w:ascii="Tahoma" w:hAnsi="Tahoma" w:cs="Tahoma"/>
          <w:spacing w:val="11"/>
          <w:sz w:val="22"/>
          <w:szCs w:val="22"/>
          <w:lang w:val="es-ES" w:eastAsia="es-ES"/>
        </w:rPr>
        <w:t>, de calidades conocidas y portador de la cédula de identidad número</w:t>
      </w:r>
      <w:r w:rsidR="00031364">
        <w:rPr>
          <w:rFonts w:ascii="Tahoma" w:hAnsi="Tahoma" w:cs="Tahoma"/>
          <w:spacing w:val="11"/>
          <w:sz w:val="22"/>
          <w:szCs w:val="22"/>
          <w:lang w:val="es-ES" w:eastAsia="es-ES"/>
        </w:rPr>
        <w:t xml:space="preserve"> …</w:t>
      </w:r>
      <w:r>
        <w:rPr>
          <w:rFonts w:ascii="Tahoma" w:hAnsi="Tahoma" w:cs="Tahoma"/>
          <w:spacing w:val="11"/>
          <w:sz w:val="22"/>
          <w:szCs w:val="22"/>
          <w:lang w:val="es-ES" w:eastAsia="es-ES"/>
        </w:rPr>
        <w:t>, contra el Acuerdo No. 5.1 de la Sesión Ordinaria No. 39-2014 del 23 de Julio del 2014,</w:t>
      </w:r>
      <w:r>
        <w:rPr>
          <w:rFonts w:ascii="Tahoma" w:hAnsi="Tahoma" w:cs="Tahoma"/>
          <w:spacing w:val="11"/>
          <w:sz w:val="22"/>
          <w:szCs w:val="22"/>
          <w:lang w:val="es-ES" w:eastAsia="es-ES"/>
        </w:rPr>
        <w:t xml:space="preserve"> de la Junta Directiva del Consejo de Transporte Público.- </w:t>
      </w:r>
      <w:r>
        <w:rPr>
          <w:rFonts w:ascii="Tahoma" w:hAnsi="Tahoma" w:cs="Tahoma"/>
          <w:b/>
          <w:bCs/>
          <w:i/>
          <w:iCs/>
          <w:spacing w:val="11"/>
          <w:sz w:val="22"/>
          <w:szCs w:val="22"/>
          <w:lang w:val="es-ES" w:eastAsia="es-ES"/>
        </w:rPr>
        <w:t>EXPEDIENTE No. TAT-184-15.</w:t>
      </w:r>
      <w:r>
        <w:rPr>
          <w:rFonts w:ascii="Tahoma" w:hAnsi="Tahoma" w:cs="Tahoma"/>
          <w:b/>
          <w:bCs/>
          <w:i/>
          <w:iCs/>
          <w:spacing w:val="11"/>
          <w:sz w:val="22"/>
          <w:szCs w:val="22"/>
          <w:lang w:val="es-ES" w:eastAsia="es-ES"/>
        </w:rPr>
        <w:noBreakHyphen/>
      </w:r>
    </w:p>
    <w:p w:rsidR="00000000" w:rsidRDefault="00C2177F">
      <w:pPr>
        <w:kinsoku w:val="0"/>
        <w:overflowPunct w:val="0"/>
        <w:autoSpaceDE/>
        <w:autoSpaceDN/>
        <w:adjustRightInd/>
        <w:spacing w:before="384" w:line="269" w:lineRule="exact"/>
        <w:jc w:val="center"/>
        <w:textAlignment w:val="baseline"/>
        <w:rPr>
          <w:rFonts w:ascii="Tahoma" w:hAnsi="Tahoma" w:cs="Tahoma"/>
          <w:b/>
          <w:bCs/>
          <w:i/>
          <w:iCs/>
          <w:spacing w:val="12"/>
          <w:sz w:val="22"/>
          <w:szCs w:val="22"/>
          <w:lang w:val="es-ES" w:eastAsia="es-ES"/>
        </w:rPr>
      </w:pPr>
      <w:r>
        <w:rPr>
          <w:rFonts w:ascii="Tahoma" w:hAnsi="Tahoma" w:cs="Tahoma"/>
          <w:b/>
          <w:bCs/>
          <w:i/>
          <w:iCs/>
          <w:spacing w:val="12"/>
          <w:sz w:val="22"/>
          <w:szCs w:val="22"/>
          <w:lang w:val="es-ES" w:eastAsia="es-ES"/>
        </w:rPr>
        <w:t>Resultando</w:t>
      </w:r>
    </w:p>
    <w:p w:rsidR="00000000" w:rsidRDefault="00C2177F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329" w:line="322" w:lineRule="exact"/>
        <w:ind w:right="144"/>
        <w:jc w:val="both"/>
        <w:textAlignment w:val="baseline"/>
        <w:rPr>
          <w:rFonts w:ascii="Arial" w:hAnsi="Arial" w:cs="Arial"/>
          <w:i/>
          <w:iCs/>
          <w:spacing w:val="7"/>
          <w:sz w:val="23"/>
          <w:szCs w:val="23"/>
          <w:lang w:val="es-ES" w:eastAsia="es-ES"/>
        </w:rPr>
      </w:pPr>
      <w:r>
        <w:rPr>
          <w:rFonts w:ascii="Tahoma" w:hAnsi="Tahoma" w:cs="Tahoma"/>
          <w:spacing w:val="7"/>
          <w:sz w:val="22"/>
          <w:szCs w:val="22"/>
          <w:lang w:val="es-ES" w:eastAsia="es-ES"/>
        </w:rPr>
        <w:t>Mediante diversos Acuerdos de su Sesión Ordinaria No. 25-2014 del 03 de Abril del. 2014, la Junta Directiva del Consejo de Transporte Público dispuso la</w:t>
      </w:r>
      <w:r>
        <w:rPr>
          <w:rFonts w:ascii="Tahoma" w:hAnsi="Tahoma" w:cs="Tahoma"/>
          <w:spacing w:val="7"/>
          <w:sz w:val="22"/>
          <w:szCs w:val="22"/>
          <w:lang w:val="es-ES" w:eastAsia="es-ES"/>
        </w:rPr>
        <w:t xml:space="preserve"> Renovación de la Generalidad de las Concesiones existentes para la Prestación del Servicio Público de Transporte Remunerado de Personas en su Modalidad Autobús </w:t>
      </w:r>
      <w:r>
        <w:rPr>
          <w:rFonts w:ascii="Arial" w:hAnsi="Arial" w:cs="Arial"/>
          <w:i/>
          <w:iCs/>
          <w:spacing w:val="7"/>
          <w:sz w:val="23"/>
          <w:szCs w:val="23"/>
          <w:lang w:val="es-ES" w:eastAsia="es-ES"/>
        </w:rPr>
        <w:t>(en cuenta las detentadas por la firma aquí Recurrente).</w:t>
      </w:r>
    </w:p>
    <w:p w:rsidR="00000000" w:rsidRDefault="00C2177F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311" w:line="322" w:lineRule="exact"/>
        <w:ind w:right="144"/>
        <w:jc w:val="both"/>
        <w:textAlignment w:val="baseline"/>
        <w:rPr>
          <w:rFonts w:ascii="Tahoma" w:hAnsi="Tahoma" w:cs="Tahoma"/>
          <w:spacing w:val="8"/>
          <w:sz w:val="22"/>
          <w:szCs w:val="22"/>
          <w:lang w:val="es-ES" w:eastAsia="es-ES"/>
        </w:rPr>
      </w:pPr>
      <w:r>
        <w:rPr>
          <w:rFonts w:ascii="Tahoma" w:hAnsi="Tahoma" w:cs="Tahoma"/>
          <w:spacing w:val="8"/>
          <w:sz w:val="22"/>
          <w:szCs w:val="22"/>
          <w:lang w:val="es-ES" w:eastAsia="es-ES"/>
        </w:rPr>
        <w:t>Visto que la Defensoría de los Habitan</w:t>
      </w:r>
      <w:r>
        <w:rPr>
          <w:rFonts w:ascii="Tahoma" w:hAnsi="Tahoma" w:cs="Tahoma"/>
          <w:spacing w:val="8"/>
          <w:sz w:val="22"/>
          <w:szCs w:val="22"/>
          <w:lang w:val="es-ES" w:eastAsia="es-ES"/>
        </w:rPr>
        <w:t>tes de la República, de forma directa, procedió a Impugnar ante el Tribunal Administrativo de Transporte los Acuerdos de Renovación de las Concesiones existentes para la Prestación del Servicio Público de Transporte Remunerado de Personas en su Modalidad A</w:t>
      </w:r>
      <w:r>
        <w:rPr>
          <w:rFonts w:ascii="Tahoma" w:hAnsi="Tahoma" w:cs="Tahoma"/>
          <w:spacing w:val="8"/>
          <w:sz w:val="22"/>
          <w:szCs w:val="22"/>
          <w:lang w:val="es-ES" w:eastAsia="es-ES"/>
        </w:rPr>
        <w:t xml:space="preserve">utobús y ante las determinaciones cautelares que se tomaran en torno al caso, a su Complejidad y en Previsión de lo que eventualmente pudiera Definir el Tribunal referido, mediante su Acuerdo No. 5.1 de su Sesión No. 39-2014 de fecha 23 de Julio del 2014, </w:t>
      </w:r>
      <w:r>
        <w:rPr>
          <w:rFonts w:ascii="Tahoma" w:hAnsi="Tahoma" w:cs="Tahoma"/>
          <w:spacing w:val="8"/>
          <w:sz w:val="22"/>
          <w:szCs w:val="22"/>
          <w:lang w:val="es-ES" w:eastAsia="es-ES"/>
        </w:rPr>
        <w:t>dentro de su ámbito de Competencias, Atribuciones y Facultades y como una Acción Preventiva y/o Cautelar, la Junta Directiva del Consejo de Transporte Público, en aras de la Continuidad y Permanencia del Servicio Público y del Interés Público en</w:t>
      </w:r>
    </w:p>
    <w:p w:rsidR="00000000" w:rsidRDefault="00C2177F">
      <w:pPr>
        <w:widowControl/>
        <w:rPr>
          <w:sz w:val="24"/>
          <w:szCs w:val="24"/>
        </w:rPr>
        <w:sectPr w:rsidR="00000000">
          <w:pgSz w:w="12134" w:h="15840"/>
          <w:pgMar w:top="1360" w:right="1444" w:bottom="1246" w:left="1690" w:header="720" w:footer="720" w:gutter="0"/>
          <w:cols w:space="720"/>
          <w:noEndnote/>
        </w:sectPr>
      </w:pPr>
    </w:p>
    <w:p w:rsidR="00000000" w:rsidRDefault="00C2177F">
      <w:pPr>
        <w:kinsoku w:val="0"/>
        <w:overflowPunct w:val="0"/>
        <w:autoSpaceDE/>
        <w:autoSpaceDN/>
        <w:adjustRightInd/>
        <w:spacing w:before="17" w:line="320" w:lineRule="exact"/>
        <w:ind w:left="72" w:right="72"/>
        <w:jc w:val="both"/>
        <w:textAlignment w:val="baseline"/>
        <w:rPr>
          <w:rFonts w:ascii="Tahoma" w:hAnsi="Tahoma" w:cs="Tahoma"/>
          <w:spacing w:val="11"/>
          <w:sz w:val="22"/>
          <w:szCs w:val="22"/>
          <w:lang w:val="es-ES" w:eastAsia="es-ES"/>
        </w:rPr>
      </w:pPr>
      <w:proofErr w:type="gramStart"/>
      <w:r>
        <w:rPr>
          <w:rFonts w:ascii="Tahoma" w:hAnsi="Tahoma" w:cs="Tahoma"/>
          <w:spacing w:val="11"/>
          <w:sz w:val="22"/>
          <w:szCs w:val="22"/>
          <w:lang w:val="es-ES" w:eastAsia="es-ES"/>
        </w:rPr>
        <w:lastRenderedPageBreak/>
        <w:t>juego</w:t>
      </w:r>
      <w:proofErr w:type="gramEnd"/>
      <w:r>
        <w:rPr>
          <w:rFonts w:ascii="Tahoma" w:hAnsi="Tahoma" w:cs="Tahoma"/>
          <w:spacing w:val="11"/>
          <w:sz w:val="22"/>
          <w:szCs w:val="22"/>
          <w:lang w:val="es-ES" w:eastAsia="es-ES"/>
        </w:rPr>
        <w:t>, dispuso que sí se llegaba el Tiempo o Plazo de Vencimiento de las Concesiones de Autobuses en cuestió</w:t>
      </w:r>
      <w:r>
        <w:rPr>
          <w:rFonts w:ascii="Tahoma" w:hAnsi="Tahoma" w:cs="Tahoma"/>
          <w:spacing w:val="11"/>
          <w:sz w:val="22"/>
          <w:szCs w:val="22"/>
          <w:lang w:val="es-ES" w:eastAsia="es-ES"/>
        </w:rPr>
        <w:t xml:space="preserve">n y no se tuviera una definición del Tribunal Administrativo de Transporte o por el Contenido y/o la Temporalidad de la misma no fuera posible la Renovación de las Concesiones dichas, los Titulares de las mismas seguirían Operando en condición Transitoria </w:t>
      </w:r>
      <w:r>
        <w:rPr>
          <w:rFonts w:ascii="Tahoma" w:hAnsi="Tahoma" w:cs="Tahoma"/>
          <w:spacing w:val="11"/>
          <w:sz w:val="22"/>
          <w:szCs w:val="22"/>
          <w:lang w:val="es-ES" w:eastAsia="es-ES"/>
        </w:rPr>
        <w:t>y/o Temporal de Permisionarios.</w:t>
      </w:r>
    </w:p>
    <w:p w:rsidR="00000000" w:rsidRDefault="00C2177F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336" w:line="320" w:lineRule="exact"/>
        <w:ind w:right="72"/>
        <w:jc w:val="both"/>
        <w:textAlignment w:val="baseline"/>
        <w:rPr>
          <w:rFonts w:ascii="Tahoma" w:hAnsi="Tahoma" w:cs="Tahoma"/>
          <w:spacing w:val="7"/>
          <w:sz w:val="22"/>
          <w:szCs w:val="22"/>
          <w:lang w:val="es-ES" w:eastAsia="es-ES"/>
        </w:rPr>
      </w:pPr>
      <w:r>
        <w:rPr>
          <w:rFonts w:ascii="Tahoma" w:hAnsi="Tahoma" w:cs="Tahoma"/>
          <w:spacing w:val="7"/>
          <w:sz w:val="22"/>
          <w:szCs w:val="22"/>
          <w:lang w:val="es-ES" w:eastAsia="es-ES"/>
        </w:rPr>
        <w:t>Mediante resolución No. TAT-2336-2014 de las 13:00 horas del 12 de Agosto del 2014, este Tribunal resuelve la Apelación presentada por la Defensoría de los Habitantes de la República y dispone ANULAR Todos los Actos de</w:t>
      </w:r>
      <w:r>
        <w:rPr>
          <w:rFonts w:ascii="Tahoma" w:hAnsi="Tahoma" w:cs="Tahoma"/>
          <w:spacing w:val="7"/>
          <w:sz w:val="22"/>
          <w:szCs w:val="22"/>
          <w:lang w:val="es-ES" w:eastAsia="es-ES"/>
        </w:rPr>
        <w:t xml:space="preserve"> Renovación de Concesio</w:t>
      </w:r>
      <w:r>
        <w:rPr>
          <w:rFonts w:ascii="Tahoma" w:hAnsi="Tahoma" w:cs="Tahoma"/>
          <w:spacing w:val="7"/>
          <w:sz w:val="22"/>
          <w:szCs w:val="22"/>
          <w:lang w:val="es-ES" w:eastAsia="es-ES"/>
        </w:rPr>
        <w:t>nes de Autobuses que la Junta Directiva del Consejo de Transporte Pública había dispuesto mediante los pertinentes Acuerdos de su Sesión Ordinaria No. 25</w:t>
      </w:r>
      <w:r>
        <w:rPr>
          <w:rFonts w:ascii="Tahoma" w:hAnsi="Tahoma" w:cs="Tahoma"/>
          <w:spacing w:val="7"/>
          <w:sz w:val="22"/>
          <w:szCs w:val="22"/>
          <w:lang w:val="es-ES" w:eastAsia="es-ES"/>
        </w:rPr>
        <w:softHyphen/>
        <w:t>2014 del 03 de Abril del 2014.</w:t>
      </w:r>
    </w:p>
    <w:p w:rsidR="00000000" w:rsidRDefault="00C2177F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341" w:line="320" w:lineRule="exact"/>
        <w:ind w:right="72"/>
        <w:jc w:val="both"/>
        <w:textAlignment w:val="baseline"/>
        <w:rPr>
          <w:rFonts w:ascii="Tahoma" w:hAnsi="Tahoma" w:cs="Tahoma"/>
          <w:spacing w:val="9"/>
          <w:sz w:val="22"/>
          <w:szCs w:val="22"/>
          <w:lang w:val="es-ES" w:eastAsia="es-ES"/>
        </w:rPr>
      </w:pPr>
      <w:r>
        <w:rPr>
          <w:rFonts w:ascii="Tahoma" w:hAnsi="Tahoma" w:cs="Tahoma"/>
          <w:spacing w:val="9"/>
          <w:sz w:val="22"/>
          <w:szCs w:val="22"/>
          <w:lang w:val="es-ES" w:eastAsia="es-ES"/>
        </w:rPr>
        <w:t xml:space="preserve">Ante lo determinado por este Tribunal mediante </w:t>
      </w:r>
      <w:r>
        <w:rPr>
          <w:rFonts w:ascii="Tahoma" w:hAnsi="Tahoma" w:cs="Tahoma"/>
          <w:spacing w:val="9"/>
          <w:sz w:val="22"/>
          <w:szCs w:val="22"/>
          <w:lang w:val="es-ES" w:eastAsia="es-ES"/>
        </w:rPr>
        <w:t xml:space="preserve">su Resolución antes referida y en mérito de lo dispuesto en el Decreto Ejecutivo No. 38603-MOPT, del 11 de Setiembre del 2014 </w:t>
      </w:r>
      <w:r>
        <w:rPr>
          <w:rFonts w:ascii="Tahoma" w:hAnsi="Tahoma" w:cs="Tahoma"/>
          <w:i/>
          <w:iCs/>
          <w:spacing w:val="9"/>
          <w:sz w:val="22"/>
          <w:szCs w:val="22"/>
          <w:lang w:val="es-ES" w:eastAsia="es-ES"/>
        </w:rPr>
        <w:t xml:space="preserve">(Publicado en La Gaceta No. 176 del 12 de Setiembre del 2014), </w:t>
      </w:r>
      <w:r>
        <w:rPr>
          <w:rFonts w:ascii="Tahoma" w:hAnsi="Tahoma" w:cs="Tahoma"/>
          <w:spacing w:val="9"/>
          <w:sz w:val="22"/>
          <w:szCs w:val="22"/>
          <w:lang w:val="es-ES" w:eastAsia="es-ES"/>
        </w:rPr>
        <w:t>en su Sesiones Nos. 53-2014 y 54-2014 de fechas 24 y 25 de Setiembr</w:t>
      </w:r>
      <w:r>
        <w:rPr>
          <w:rFonts w:ascii="Tahoma" w:hAnsi="Tahoma" w:cs="Tahoma"/>
          <w:spacing w:val="9"/>
          <w:sz w:val="22"/>
          <w:szCs w:val="22"/>
          <w:lang w:val="es-ES" w:eastAsia="es-ES"/>
        </w:rPr>
        <w:t xml:space="preserve">e del 2014 y demás concomitantes, la Junta Directiva del Consejo de Transporte Público dispuso </w:t>
      </w:r>
      <w:r>
        <w:rPr>
          <w:rFonts w:ascii="Tahoma" w:hAnsi="Tahoma" w:cs="Tahoma"/>
          <w:i/>
          <w:iCs/>
          <w:spacing w:val="9"/>
          <w:sz w:val="22"/>
          <w:szCs w:val="22"/>
          <w:lang w:val="es-ES" w:eastAsia="es-ES"/>
        </w:rPr>
        <w:t xml:space="preserve">—nuevamente- </w:t>
      </w:r>
      <w:r>
        <w:rPr>
          <w:rFonts w:ascii="Tahoma" w:hAnsi="Tahoma" w:cs="Tahoma"/>
          <w:spacing w:val="9"/>
          <w:sz w:val="22"/>
          <w:szCs w:val="22"/>
          <w:lang w:val="es-ES" w:eastAsia="es-ES"/>
        </w:rPr>
        <w:t>la Renovación de las Concesiones Existentes para la Prestación del Servicio Público de Transporte Remunerado de Personas en su Modalidad Autobús. Es</w:t>
      </w:r>
      <w:r>
        <w:rPr>
          <w:rFonts w:ascii="Tahoma" w:hAnsi="Tahoma" w:cs="Tahoma"/>
          <w:spacing w:val="9"/>
          <w:sz w:val="22"/>
          <w:szCs w:val="22"/>
          <w:lang w:val="es-ES" w:eastAsia="es-ES"/>
        </w:rPr>
        <w:t>to antes del Vencimiento de las mismas y sin que tuviera Aplicación alguna lo dispuesto mediante el Acto Objetado.</w:t>
      </w:r>
    </w:p>
    <w:p w:rsidR="00000000" w:rsidRDefault="00C2177F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325" w:line="320" w:lineRule="exact"/>
        <w:ind w:right="72"/>
        <w:jc w:val="both"/>
        <w:textAlignment w:val="baseline"/>
        <w:rPr>
          <w:rFonts w:ascii="Tahoma" w:hAnsi="Tahoma" w:cs="Tahoma"/>
          <w:spacing w:val="8"/>
          <w:sz w:val="22"/>
          <w:szCs w:val="22"/>
          <w:lang w:val="es-ES" w:eastAsia="es-ES"/>
        </w:rPr>
      </w:pPr>
      <w:r>
        <w:rPr>
          <w:rFonts w:ascii="Tahoma" w:hAnsi="Tahoma" w:cs="Tahoma"/>
          <w:spacing w:val="8"/>
          <w:sz w:val="22"/>
          <w:szCs w:val="22"/>
          <w:lang w:val="es-ES" w:eastAsia="es-ES"/>
        </w:rPr>
        <w:t>No obstante todo lo anterior, mediante memorial de fecha 28 de Agosto del 2014, el personero indicado de la firma B</w:t>
      </w:r>
      <w:r w:rsidR="00031364">
        <w:rPr>
          <w:rFonts w:ascii="Tahoma" w:hAnsi="Tahoma" w:cs="Tahoma"/>
          <w:spacing w:val="8"/>
          <w:sz w:val="22"/>
          <w:szCs w:val="22"/>
          <w:lang w:val="es-ES" w:eastAsia="es-ES"/>
        </w:rPr>
        <w:t>.I.U.S.A.</w:t>
      </w:r>
      <w:r>
        <w:rPr>
          <w:rFonts w:ascii="Tahoma" w:hAnsi="Tahoma" w:cs="Tahoma"/>
          <w:spacing w:val="8"/>
          <w:sz w:val="22"/>
          <w:szCs w:val="22"/>
          <w:lang w:val="es-ES" w:eastAsia="es-ES"/>
        </w:rPr>
        <w:t>, inter</w:t>
      </w:r>
      <w:r>
        <w:rPr>
          <w:rFonts w:ascii="Tahoma" w:hAnsi="Tahoma" w:cs="Tahoma"/>
          <w:spacing w:val="8"/>
          <w:sz w:val="22"/>
          <w:szCs w:val="22"/>
          <w:lang w:val="es-ES" w:eastAsia="es-ES"/>
        </w:rPr>
        <w:t>pone formales Recursos Administrativos e Incidencia de Nulidad contra el Acuerdo No. 5.1 de la Sesión Ordinaria No. 39-2014 del 23 de Julio del 2014, de la Junta Directiva del Consejo de Transporte Público.</w:t>
      </w:r>
    </w:p>
    <w:p w:rsidR="00000000" w:rsidRDefault="00C2177F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333" w:line="320" w:lineRule="exact"/>
        <w:ind w:right="72"/>
        <w:jc w:val="both"/>
        <w:textAlignment w:val="baseline"/>
        <w:rPr>
          <w:rFonts w:ascii="Tahoma" w:hAnsi="Tahoma" w:cs="Tahoma"/>
          <w:sz w:val="22"/>
          <w:szCs w:val="22"/>
          <w:lang w:val="es-ES" w:eastAsia="es-ES"/>
        </w:rPr>
      </w:pPr>
      <w:r>
        <w:rPr>
          <w:rFonts w:ascii="Tahoma" w:hAnsi="Tahoma" w:cs="Tahoma"/>
          <w:sz w:val="22"/>
          <w:szCs w:val="22"/>
          <w:lang w:val="es-ES" w:eastAsia="es-ES"/>
        </w:rPr>
        <w:t>Mediante su Acuerdo No. 7.33 de su Sesió</w:t>
      </w:r>
      <w:r>
        <w:rPr>
          <w:rFonts w:ascii="Tahoma" w:hAnsi="Tahoma" w:cs="Tahoma"/>
          <w:sz w:val="22"/>
          <w:szCs w:val="22"/>
          <w:lang w:val="es-ES" w:eastAsia="es-ES"/>
        </w:rPr>
        <w:t>n Ordinaria No. 77-2014 del 15 de Diciembre del 2014, la Junta Directiva del Consejo de Transporte Público, rechaza la Revocatoria y Nulidad primarias. Disponiendo elevar el caso, en lo de competencia, ante este Tribunal.</w:t>
      </w:r>
    </w:p>
    <w:p w:rsidR="00000000" w:rsidRDefault="00C2177F">
      <w:pPr>
        <w:kinsoku w:val="0"/>
        <w:overflowPunct w:val="0"/>
        <w:autoSpaceDE/>
        <w:autoSpaceDN/>
        <w:adjustRightInd/>
        <w:spacing w:before="681" w:line="258" w:lineRule="exact"/>
        <w:ind w:left="72" w:right="72"/>
        <w:textAlignment w:val="baseline"/>
        <w:rPr>
          <w:rFonts w:ascii="Tahoma" w:hAnsi="Tahoma" w:cs="Tahoma"/>
          <w:b/>
          <w:bCs/>
          <w:i/>
          <w:iCs/>
          <w:spacing w:val="7"/>
          <w:sz w:val="22"/>
          <w:szCs w:val="22"/>
          <w:lang w:val="es-ES" w:eastAsia="es-ES"/>
        </w:rPr>
      </w:pPr>
      <w:r>
        <w:rPr>
          <w:rFonts w:ascii="Tahoma" w:hAnsi="Tahoma" w:cs="Tahoma"/>
          <w:b/>
          <w:bCs/>
          <w:i/>
          <w:iCs/>
          <w:spacing w:val="7"/>
          <w:sz w:val="22"/>
          <w:szCs w:val="22"/>
          <w:lang w:val="es-ES" w:eastAsia="es-ES"/>
        </w:rPr>
        <w:t>REDACTA EL JUEZ QUESADA AGUIRRRE,</w:t>
      </w:r>
    </w:p>
    <w:p w:rsidR="00000000" w:rsidRDefault="00C2177F">
      <w:pPr>
        <w:kinsoku w:val="0"/>
        <w:overflowPunct w:val="0"/>
        <w:autoSpaceDE/>
        <w:autoSpaceDN/>
        <w:adjustRightInd/>
        <w:spacing w:before="385" w:line="258" w:lineRule="exact"/>
        <w:ind w:left="72" w:right="72"/>
        <w:jc w:val="center"/>
        <w:textAlignment w:val="baseline"/>
        <w:rPr>
          <w:rFonts w:ascii="Tahoma" w:hAnsi="Tahoma" w:cs="Tahoma"/>
          <w:b/>
          <w:bCs/>
          <w:i/>
          <w:iCs/>
          <w:spacing w:val="11"/>
          <w:sz w:val="22"/>
          <w:szCs w:val="22"/>
          <w:lang w:val="es-ES" w:eastAsia="es-ES"/>
        </w:rPr>
      </w:pPr>
      <w:r>
        <w:rPr>
          <w:rFonts w:ascii="Tahoma" w:hAnsi="Tahoma" w:cs="Tahoma"/>
          <w:b/>
          <w:bCs/>
          <w:i/>
          <w:iCs/>
          <w:spacing w:val="11"/>
          <w:sz w:val="22"/>
          <w:szCs w:val="22"/>
          <w:lang w:val="es-ES" w:eastAsia="es-ES"/>
        </w:rPr>
        <w:t>Considerando Único</w:t>
      </w:r>
    </w:p>
    <w:p w:rsidR="00000000" w:rsidRDefault="00C2177F">
      <w:pPr>
        <w:widowControl/>
        <w:rPr>
          <w:sz w:val="24"/>
          <w:szCs w:val="24"/>
        </w:rPr>
        <w:sectPr w:rsidR="00000000">
          <w:pgSz w:w="12134" w:h="15840"/>
          <w:pgMar w:top="1360" w:right="1528" w:bottom="1390" w:left="1606" w:header="720" w:footer="720" w:gutter="0"/>
          <w:cols w:space="720"/>
          <w:noEndnote/>
        </w:sectPr>
      </w:pPr>
    </w:p>
    <w:p w:rsidR="00000000" w:rsidRDefault="00C2177F">
      <w:pPr>
        <w:kinsoku w:val="0"/>
        <w:overflowPunct w:val="0"/>
        <w:autoSpaceDE/>
        <w:autoSpaceDN/>
        <w:adjustRightInd/>
        <w:spacing w:before="77" w:line="319" w:lineRule="exact"/>
        <w:ind w:right="576"/>
        <w:jc w:val="both"/>
        <w:textAlignment w:val="baseline"/>
        <w:rPr>
          <w:rFonts w:ascii="Tahoma" w:hAnsi="Tahoma" w:cs="Tahoma"/>
          <w:b/>
          <w:bCs/>
          <w:sz w:val="22"/>
          <w:szCs w:val="22"/>
          <w:lang w:val="es-ES" w:eastAsia="es-ES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/>
        </w:rPr>
        <w:t xml:space="preserve">FALTA DE INTERÉS ACTUAL E IMPROCEDENCIA: </w:t>
      </w:r>
      <w:r>
        <w:rPr>
          <w:rFonts w:ascii="Tahoma" w:hAnsi="Tahoma" w:cs="Tahoma"/>
          <w:sz w:val="22"/>
          <w:szCs w:val="22"/>
          <w:lang w:val="es-ES" w:eastAsia="es-ES"/>
        </w:rPr>
        <w:t xml:space="preserve">Como bien se dijo </w:t>
      </w:r>
      <w:r>
        <w:rPr>
          <w:rFonts w:ascii="Tahoma" w:hAnsi="Tahoma" w:cs="Tahoma"/>
          <w:i/>
          <w:iCs/>
          <w:sz w:val="22"/>
          <w:szCs w:val="22"/>
          <w:lang w:val="es-ES" w:eastAsia="es-ES"/>
        </w:rPr>
        <w:t xml:space="preserve">supra, </w:t>
      </w:r>
      <w:r>
        <w:rPr>
          <w:rFonts w:ascii="Tahoma" w:hAnsi="Tahoma" w:cs="Tahoma"/>
          <w:sz w:val="22"/>
          <w:szCs w:val="22"/>
          <w:lang w:val="es-ES" w:eastAsia="es-ES"/>
        </w:rPr>
        <w:t>mediante su Acuerdo Objetado, la Junta Directiva del Consejo de Transporte Público vino a tomar una Medida Paliativa, de Contingencia y de Cará</w:t>
      </w:r>
      <w:r>
        <w:rPr>
          <w:rFonts w:ascii="Tahoma" w:hAnsi="Tahoma" w:cs="Tahoma"/>
          <w:sz w:val="22"/>
          <w:szCs w:val="22"/>
          <w:lang w:val="es-ES" w:eastAsia="es-ES"/>
        </w:rPr>
        <w:t xml:space="preserve">cter Cautelar, ante la Posible No Renovación y/o Anulación de las Concesiones de Autobús para el Periodo 2014 — 2021. Actuación que por los Actos que se dieran en el ínterin, </w:t>
      </w:r>
      <w:r>
        <w:rPr>
          <w:rFonts w:ascii="Tahoma" w:hAnsi="Tahoma" w:cs="Tahoma"/>
          <w:b/>
          <w:bCs/>
          <w:sz w:val="22"/>
          <w:szCs w:val="22"/>
          <w:lang w:val="es-ES" w:eastAsia="es-ES"/>
        </w:rPr>
        <w:t xml:space="preserve">NO SURTIÓ EFECTO ALGUNO </w:t>
      </w:r>
      <w:r>
        <w:rPr>
          <w:rFonts w:ascii="Tahoma" w:hAnsi="Tahoma" w:cs="Tahoma"/>
          <w:b/>
          <w:bCs/>
          <w:i/>
          <w:iCs/>
          <w:sz w:val="22"/>
          <w:szCs w:val="22"/>
          <w:lang w:val="es-ES" w:eastAsia="es-ES"/>
        </w:rPr>
        <w:t xml:space="preserve">(no debió de aplicarse). </w:t>
      </w:r>
      <w:r>
        <w:rPr>
          <w:rFonts w:ascii="Tahoma" w:hAnsi="Tahoma" w:cs="Tahoma"/>
          <w:b/>
          <w:bCs/>
          <w:sz w:val="22"/>
          <w:szCs w:val="22"/>
          <w:lang w:val="es-ES" w:eastAsia="es-ES"/>
        </w:rPr>
        <w:t>RENOVÁNDOSE LAS CONCESIONES EN T</w:t>
      </w:r>
      <w:r>
        <w:rPr>
          <w:rFonts w:ascii="Tahoma" w:hAnsi="Tahoma" w:cs="Tahoma"/>
          <w:b/>
          <w:bCs/>
          <w:sz w:val="22"/>
          <w:szCs w:val="22"/>
          <w:lang w:val="es-ES" w:eastAsia="es-ES"/>
        </w:rPr>
        <w:t>IEMPO.</w:t>
      </w:r>
    </w:p>
    <w:p w:rsidR="00000000" w:rsidRDefault="00C2177F">
      <w:pPr>
        <w:kinsoku w:val="0"/>
        <w:overflowPunct w:val="0"/>
        <w:autoSpaceDE/>
        <w:autoSpaceDN/>
        <w:adjustRightInd/>
        <w:spacing w:before="321" w:line="321" w:lineRule="exact"/>
        <w:ind w:right="576"/>
        <w:jc w:val="both"/>
        <w:textAlignment w:val="baseline"/>
        <w:rPr>
          <w:rFonts w:ascii="Tahoma" w:hAnsi="Tahoma" w:cs="Tahoma"/>
          <w:spacing w:val="8"/>
          <w:sz w:val="22"/>
          <w:szCs w:val="22"/>
          <w:lang w:val="es-ES" w:eastAsia="es-ES"/>
        </w:rPr>
      </w:pPr>
      <w:r>
        <w:rPr>
          <w:rFonts w:ascii="Tahoma" w:hAnsi="Tahoma" w:cs="Tahoma"/>
          <w:spacing w:val="8"/>
          <w:sz w:val="22"/>
          <w:szCs w:val="22"/>
          <w:lang w:val="es-ES" w:eastAsia="es-ES"/>
        </w:rPr>
        <w:t xml:space="preserve">Conforme lo anterior lo que nos ocupa pasa a carecer de Interés Actual y Directo, afectante o de amenaza en contra de la Recurrente. Determinándose por ello la no necesidad y </w:t>
      </w:r>
      <w:proofErr w:type="spellStart"/>
      <w:r>
        <w:rPr>
          <w:rFonts w:ascii="Tahoma" w:hAnsi="Tahoma" w:cs="Tahoma"/>
          <w:spacing w:val="8"/>
          <w:sz w:val="22"/>
          <w:szCs w:val="22"/>
          <w:lang w:val="es-ES" w:eastAsia="es-ES"/>
        </w:rPr>
        <w:t>operancia</w:t>
      </w:r>
      <w:proofErr w:type="spellEnd"/>
      <w:r>
        <w:rPr>
          <w:rFonts w:ascii="Tahoma" w:hAnsi="Tahoma" w:cs="Tahoma"/>
          <w:spacing w:val="8"/>
          <w:sz w:val="22"/>
          <w:szCs w:val="22"/>
          <w:lang w:val="es-ES" w:eastAsia="es-ES"/>
        </w:rPr>
        <w:t xml:space="preserve"> de los Recurso u Acciones que nos ocupan y su evidente Falta de </w:t>
      </w:r>
      <w:r>
        <w:rPr>
          <w:rFonts w:ascii="Tahoma" w:hAnsi="Tahoma" w:cs="Tahoma"/>
          <w:spacing w:val="8"/>
          <w:sz w:val="22"/>
          <w:szCs w:val="22"/>
          <w:lang w:val="es-ES" w:eastAsia="es-ES"/>
        </w:rPr>
        <w:t xml:space="preserve">Interés Actual. Situación real ante la cual las Acciones Recursivas que se presentaran y que se atienden por este medio devienen en improcedentes. En cuanto a lo anterior el autor y conocido tratadista jurídico, José </w:t>
      </w:r>
      <w:proofErr w:type="spellStart"/>
      <w:r>
        <w:rPr>
          <w:rFonts w:ascii="Tahoma" w:hAnsi="Tahoma" w:cs="Tahoma"/>
          <w:spacing w:val="8"/>
          <w:sz w:val="22"/>
          <w:szCs w:val="22"/>
          <w:lang w:val="es-ES" w:eastAsia="es-ES"/>
        </w:rPr>
        <w:t>Chiovenda</w:t>
      </w:r>
      <w:proofErr w:type="spellEnd"/>
      <w:r>
        <w:rPr>
          <w:rFonts w:ascii="Tahoma" w:hAnsi="Tahoma" w:cs="Tahoma"/>
          <w:spacing w:val="8"/>
          <w:sz w:val="22"/>
          <w:szCs w:val="22"/>
          <w:lang w:val="es-ES" w:eastAsia="es-ES"/>
        </w:rPr>
        <w:t>, muy claramente nos indica:</w:t>
      </w:r>
    </w:p>
    <w:p w:rsidR="00000000" w:rsidRDefault="00C2177F">
      <w:pPr>
        <w:kinsoku w:val="0"/>
        <w:overflowPunct w:val="0"/>
        <w:autoSpaceDE/>
        <w:autoSpaceDN/>
        <w:adjustRightInd/>
        <w:spacing w:before="428" w:line="319" w:lineRule="exact"/>
        <w:ind w:left="576" w:right="1224"/>
        <w:jc w:val="both"/>
        <w:textAlignment w:val="baseline"/>
        <w:rPr>
          <w:rFonts w:ascii="Tahoma" w:hAnsi="Tahoma" w:cs="Tahoma"/>
          <w:spacing w:val="6"/>
          <w:sz w:val="22"/>
          <w:szCs w:val="22"/>
          <w:lang w:val="es-ES" w:eastAsia="es-ES"/>
        </w:rPr>
      </w:pPr>
      <w:r>
        <w:rPr>
          <w:rFonts w:ascii="Tahoma" w:hAnsi="Tahoma" w:cs="Tahoma"/>
          <w:spacing w:val="6"/>
          <w:sz w:val="22"/>
          <w:szCs w:val="22"/>
          <w:lang w:val="es-ES" w:eastAsia="es-ES"/>
        </w:rPr>
        <w:t>.</w:t>
      </w:r>
      <w:r>
        <w:rPr>
          <w:rFonts w:ascii="Tahoma" w:hAnsi="Tahoma" w:cs="Tahoma"/>
          <w:spacing w:val="6"/>
          <w:sz w:val="22"/>
          <w:szCs w:val="22"/>
          <w:lang w:val="es-ES" w:eastAsia="es-ES"/>
        </w:rPr>
        <w:t xml:space="preserve">.."En todo proceso, existen los presupuestos de fondo, relacionados con el derecho tutelar de la pretensión, la legitimación en la causa y </w:t>
      </w:r>
      <w:r>
        <w:rPr>
          <w:rFonts w:ascii="Tahoma" w:hAnsi="Tahoma" w:cs="Tahoma"/>
          <w:b/>
          <w:bCs/>
          <w:spacing w:val="6"/>
          <w:sz w:val="22"/>
          <w:szCs w:val="22"/>
          <w:lang w:val="es-ES" w:eastAsia="es-ES"/>
        </w:rPr>
        <w:t xml:space="preserve">el </w:t>
      </w:r>
      <w:r>
        <w:rPr>
          <w:rFonts w:ascii="Tahoma" w:hAnsi="Tahoma" w:cs="Tahoma"/>
          <w:b/>
          <w:bCs/>
          <w:spacing w:val="6"/>
          <w:sz w:val="22"/>
          <w:szCs w:val="22"/>
          <w:u w:val="single"/>
          <w:lang w:val="es-ES" w:eastAsia="es-ES"/>
        </w:rPr>
        <w:t>interés actual.</w:t>
      </w:r>
      <w:r>
        <w:rPr>
          <w:rFonts w:ascii="Tahoma" w:hAnsi="Tahoma" w:cs="Tahoma"/>
          <w:b/>
          <w:bCs/>
          <w:spacing w:val="6"/>
          <w:sz w:val="22"/>
          <w:szCs w:val="22"/>
          <w:lang w:val="es-ES" w:eastAsia="es-ES"/>
        </w:rPr>
        <w:t xml:space="preserve"> Sí es entendido que una acción deviene en frustránea cuando falta cualquiera de los presupuestos d</w:t>
      </w:r>
      <w:r>
        <w:rPr>
          <w:rFonts w:ascii="Tahoma" w:hAnsi="Tahoma" w:cs="Tahoma"/>
          <w:b/>
          <w:bCs/>
          <w:spacing w:val="6"/>
          <w:sz w:val="22"/>
          <w:szCs w:val="22"/>
          <w:lang w:val="es-ES" w:eastAsia="es-ES"/>
        </w:rPr>
        <w:t xml:space="preserve">e fondo: </w:t>
      </w:r>
      <w:r>
        <w:rPr>
          <w:rFonts w:ascii="Tahoma" w:hAnsi="Tahoma" w:cs="Tahoma"/>
          <w:spacing w:val="6"/>
          <w:sz w:val="22"/>
          <w:szCs w:val="22"/>
          <w:lang w:val="es-ES" w:eastAsia="es-ES"/>
        </w:rPr>
        <w:t xml:space="preserve">derecho real o personal, </w:t>
      </w:r>
      <w:r>
        <w:rPr>
          <w:rFonts w:ascii="Tahoma" w:hAnsi="Tahoma" w:cs="Tahoma"/>
          <w:b/>
          <w:bCs/>
          <w:spacing w:val="6"/>
          <w:sz w:val="22"/>
          <w:szCs w:val="22"/>
          <w:lang w:val="es-ES" w:eastAsia="es-ES"/>
        </w:rPr>
        <w:t xml:space="preserve">interés actual </w:t>
      </w:r>
      <w:r>
        <w:rPr>
          <w:rFonts w:ascii="Tahoma" w:hAnsi="Tahoma" w:cs="Tahoma"/>
          <w:spacing w:val="6"/>
          <w:sz w:val="22"/>
          <w:szCs w:val="22"/>
          <w:lang w:val="es-ES" w:eastAsia="es-ES"/>
        </w:rPr>
        <w:t>y legitimación. En las causas sometidas a su conocimiento, el Juez está obligado a realizar, incluso, en forma oficiosa, los presupuestos de toda demanda, a saber: derecho, legitimación (activa o pasiva) y e</w:t>
      </w:r>
      <w:r>
        <w:rPr>
          <w:rFonts w:ascii="Tahoma" w:hAnsi="Tahoma" w:cs="Tahoma"/>
          <w:spacing w:val="6"/>
          <w:sz w:val="22"/>
          <w:szCs w:val="22"/>
          <w:lang w:val="es-ES" w:eastAsia="es-ES"/>
        </w:rPr>
        <w:t>l interés actual."... (</w:t>
      </w:r>
      <w:proofErr w:type="spellStart"/>
      <w:r>
        <w:rPr>
          <w:rFonts w:ascii="Tahoma" w:hAnsi="Tahoma" w:cs="Tahoma"/>
          <w:spacing w:val="6"/>
          <w:sz w:val="22"/>
          <w:szCs w:val="22"/>
          <w:lang w:val="es-ES" w:eastAsia="es-ES"/>
        </w:rPr>
        <w:t>Chiovenda</w:t>
      </w:r>
      <w:proofErr w:type="spellEnd"/>
      <w:r>
        <w:rPr>
          <w:rFonts w:ascii="Tahoma" w:hAnsi="Tahoma" w:cs="Tahoma"/>
          <w:spacing w:val="6"/>
          <w:sz w:val="22"/>
          <w:szCs w:val="22"/>
          <w:lang w:val="es-ES" w:eastAsia="es-ES"/>
        </w:rPr>
        <w:t xml:space="preserve">, José: </w:t>
      </w:r>
      <w:r>
        <w:rPr>
          <w:rFonts w:ascii="Tahoma" w:hAnsi="Tahoma" w:cs="Tahoma"/>
          <w:b/>
          <w:bCs/>
          <w:i/>
          <w:iCs/>
          <w:spacing w:val="6"/>
          <w:sz w:val="22"/>
          <w:szCs w:val="22"/>
          <w:u w:val="single"/>
          <w:lang w:val="es-ES" w:eastAsia="es-ES"/>
        </w:rPr>
        <w:t>Principios de Derecho Procesal Civil,</w:t>
      </w:r>
      <w:r>
        <w:rPr>
          <w:rFonts w:ascii="Tahoma" w:hAnsi="Tahoma" w:cs="Tahoma"/>
          <w:spacing w:val="6"/>
          <w:sz w:val="22"/>
          <w:szCs w:val="22"/>
          <w:lang w:val="es-ES" w:eastAsia="es-ES"/>
        </w:rPr>
        <w:t xml:space="preserve"> Tomo I, Pág. 178).</w:t>
      </w:r>
    </w:p>
    <w:p w:rsidR="00000000" w:rsidRDefault="00C2177F">
      <w:pPr>
        <w:kinsoku w:val="0"/>
        <w:overflowPunct w:val="0"/>
        <w:autoSpaceDE/>
        <w:autoSpaceDN/>
        <w:adjustRightInd/>
        <w:spacing w:before="540" w:after="302" w:line="321" w:lineRule="exact"/>
        <w:ind w:right="576"/>
        <w:jc w:val="both"/>
        <w:textAlignment w:val="baseline"/>
        <w:rPr>
          <w:rFonts w:ascii="Tahoma" w:hAnsi="Tahoma" w:cs="Tahoma"/>
          <w:spacing w:val="7"/>
          <w:sz w:val="22"/>
          <w:szCs w:val="22"/>
          <w:lang w:val="es-ES" w:eastAsia="es-ES"/>
        </w:rPr>
      </w:pPr>
      <w:r>
        <w:rPr>
          <w:rFonts w:ascii="Tahoma" w:hAnsi="Tahoma" w:cs="Tahoma"/>
          <w:spacing w:val="7"/>
          <w:sz w:val="22"/>
          <w:szCs w:val="22"/>
          <w:lang w:val="es-ES" w:eastAsia="es-ES"/>
        </w:rPr>
        <w:t>En concordancia con lo anterior, la Sección VI del Tribunal Contencioso Administrativo, mediante Resolución No. 2008-00037 de las 11:20 horas del 20 de Junio</w:t>
      </w:r>
      <w:r>
        <w:rPr>
          <w:rFonts w:ascii="Tahoma" w:hAnsi="Tahoma" w:cs="Tahoma"/>
          <w:spacing w:val="7"/>
          <w:sz w:val="22"/>
          <w:szCs w:val="22"/>
          <w:lang w:val="es-ES" w:eastAsia="es-ES"/>
        </w:rPr>
        <w:t xml:space="preserve"> del 2008, citando un precedente relevante de la Sala Primera de la Corte Suprema de Justicia, señala:</w:t>
      </w:r>
    </w:p>
    <w:p w:rsidR="00000000" w:rsidRDefault="00C2177F">
      <w:pPr>
        <w:kinsoku w:val="0"/>
        <w:overflowPunct w:val="0"/>
        <w:autoSpaceDE/>
        <w:autoSpaceDN/>
        <w:adjustRightInd/>
        <w:spacing w:before="52" w:line="20" w:lineRule="exact"/>
        <w:textAlignment w:val="baseline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477"/>
        <w:gridCol w:w="100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83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2177F">
            <w:pPr>
              <w:kinsoku w:val="0"/>
              <w:overflowPunct w:val="0"/>
              <w:autoSpaceDE/>
              <w:autoSpaceDN/>
              <w:adjustRightInd/>
              <w:spacing w:line="313" w:lineRule="exact"/>
              <w:ind w:left="576" w:right="216"/>
              <w:jc w:val="both"/>
              <w:textAlignment w:val="baseline"/>
              <w:rPr>
                <w:rFonts w:ascii="Tahoma" w:hAnsi="Tahoma" w:cs="Tahoma"/>
                <w:spacing w:val="9"/>
                <w:sz w:val="22"/>
                <w:szCs w:val="22"/>
                <w:lang w:val="es-ES" w:eastAsia="es-ES"/>
              </w:rPr>
            </w:pPr>
            <w:r>
              <w:rPr>
                <w:rFonts w:ascii="Tahoma" w:hAnsi="Tahoma" w:cs="Tahoma"/>
                <w:i/>
                <w:iCs/>
                <w:spacing w:val="9"/>
                <w:sz w:val="22"/>
                <w:szCs w:val="22"/>
                <w:lang w:val="es-ES" w:eastAsia="es-ES"/>
              </w:rPr>
              <w:t xml:space="preserve">..."En cuarto lugar, </w:t>
            </w:r>
            <w:r>
              <w:rPr>
                <w:rFonts w:ascii="Tahoma" w:hAnsi="Tahoma" w:cs="Tahoma"/>
                <w:b/>
                <w:bCs/>
                <w:i/>
                <w:iCs/>
                <w:spacing w:val="9"/>
                <w:sz w:val="22"/>
                <w:szCs w:val="22"/>
                <w:lang w:val="es-ES" w:eastAsia="es-ES"/>
              </w:rPr>
              <w:t xml:space="preserve">el interés debe ser actual </w:t>
            </w:r>
            <w:r>
              <w:rPr>
                <w:rFonts w:ascii="Tahoma" w:hAnsi="Tahoma" w:cs="Tahoma"/>
                <w:spacing w:val="9"/>
                <w:sz w:val="22"/>
                <w:szCs w:val="22"/>
                <w:lang w:val="es-ES" w:eastAsia="es-ES"/>
              </w:rPr>
              <w:t xml:space="preserve">y </w:t>
            </w:r>
            <w:r>
              <w:rPr>
                <w:rFonts w:ascii="Tahoma" w:hAnsi="Tahoma" w:cs="Tahoma"/>
                <w:i/>
                <w:iCs/>
                <w:spacing w:val="9"/>
                <w:sz w:val="22"/>
                <w:szCs w:val="22"/>
                <w:lang w:val="es-ES" w:eastAsia="es-ES"/>
              </w:rPr>
              <w:t>cierto; por ende, debe existir al momento de establecerse la demanda, ya sea porque se ha producido un daño o menoscabo, o porque éstos son previsibles en un futuro, conforme a las circunstancias normales del caso concreto. No son impugnables de acuerdo co</w:t>
            </w:r>
            <w:r>
              <w:rPr>
                <w:rFonts w:ascii="Tahoma" w:hAnsi="Tahoma" w:cs="Tahoma"/>
                <w:i/>
                <w:iCs/>
                <w:spacing w:val="9"/>
                <w:sz w:val="22"/>
                <w:szCs w:val="22"/>
                <w:lang w:val="es-ES" w:eastAsia="es-ES"/>
              </w:rPr>
              <w:t>n lo dicho, los daños simplemente hipotéticos o remotos. El perjuicio no necesariamente debe ser de índole patrimonial, pues podrían tutelarse intereses morales, siempre y cuando se trate de situaciones relevantes para el ordenamiento jurídico y su quebran</w:t>
            </w:r>
            <w:r>
              <w:rPr>
                <w:rFonts w:ascii="Tahoma" w:hAnsi="Tahoma" w:cs="Tahoma"/>
                <w:i/>
                <w:iCs/>
                <w:spacing w:val="9"/>
                <w:sz w:val="22"/>
                <w:szCs w:val="22"/>
                <w:lang w:val="es-ES" w:eastAsia="es-ES"/>
              </w:rPr>
              <w:t xml:space="preserve">to sea demostrado en el proceso." </w:t>
            </w:r>
            <w:r>
              <w:rPr>
                <w:rFonts w:ascii="Tahoma" w:hAnsi="Tahoma" w:cs="Tahoma"/>
                <w:spacing w:val="9"/>
                <w:sz w:val="22"/>
                <w:szCs w:val="22"/>
                <w:lang w:val="es-ES" w:eastAsia="es-ES"/>
              </w:rPr>
              <w:t>(SALA PRIMERA DE LA</w:t>
            </w:r>
          </w:p>
          <w:p w:rsidR="00000000" w:rsidRDefault="00C2177F">
            <w:pPr>
              <w:kinsoku w:val="0"/>
              <w:overflowPunct w:val="0"/>
              <w:autoSpaceDE/>
              <w:autoSpaceDN/>
              <w:adjustRightInd/>
              <w:spacing w:before="108" w:after="522" w:line="220" w:lineRule="exact"/>
              <w:ind w:right="216"/>
              <w:jc w:val="right"/>
              <w:textAlignment w:val="baseline"/>
              <w:rPr>
                <w:i/>
                <w:iCs/>
                <w:sz w:val="21"/>
                <w:szCs w:val="21"/>
                <w:lang w:val="es-ES" w:eastAsia="es-E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2177F">
            <w:pPr>
              <w:kinsoku w:val="0"/>
              <w:overflowPunct w:val="0"/>
              <w:autoSpaceDE/>
              <w:autoSpaceDN/>
              <w:adjustRightInd/>
              <w:spacing w:before="23" w:after="17"/>
              <w:ind w:right="19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</w:tbl>
    <w:p w:rsidR="00000000" w:rsidRDefault="00C2177F">
      <w:pPr>
        <w:widowControl/>
        <w:rPr>
          <w:sz w:val="24"/>
          <w:szCs w:val="24"/>
        </w:rPr>
        <w:sectPr w:rsidR="00000000">
          <w:pgSz w:w="12134" w:h="15840"/>
          <w:pgMar w:top="1320" w:right="974" w:bottom="384" w:left="1680" w:header="720" w:footer="720" w:gutter="0"/>
          <w:cols w:space="720"/>
          <w:noEndnote/>
        </w:sectPr>
      </w:pPr>
    </w:p>
    <w:p w:rsidR="00000000" w:rsidRDefault="00C2177F">
      <w:pPr>
        <w:kinsoku w:val="0"/>
        <w:overflowPunct w:val="0"/>
        <w:autoSpaceDE/>
        <w:autoSpaceDN/>
        <w:adjustRightInd/>
        <w:spacing w:before="40" w:line="303" w:lineRule="exact"/>
        <w:ind w:left="576" w:right="720"/>
        <w:jc w:val="both"/>
        <w:textAlignment w:val="baseline"/>
        <w:rPr>
          <w:rFonts w:ascii="Tahoma" w:hAnsi="Tahoma" w:cs="Tahoma"/>
          <w:spacing w:val="7"/>
          <w:sz w:val="22"/>
          <w:szCs w:val="22"/>
          <w:lang w:val="es-ES" w:eastAsia="es-ES"/>
        </w:rPr>
      </w:pPr>
      <w:r>
        <w:rPr>
          <w:rFonts w:ascii="Tahoma" w:hAnsi="Tahoma" w:cs="Tahoma"/>
          <w:spacing w:val="7"/>
          <w:sz w:val="22"/>
          <w:szCs w:val="22"/>
          <w:lang w:val="es-ES" w:eastAsia="es-ES"/>
        </w:rPr>
        <w:t>CORTE, Sentencia 134 de las 14:35 horas del 23 de setiembre de 1992)."...</w:t>
      </w:r>
    </w:p>
    <w:p w:rsidR="00000000" w:rsidRDefault="00C2177F">
      <w:pPr>
        <w:kinsoku w:val="0"/>
        <w:overflowPunct w:val="0"/>
        <w:autoSpaceDE/>
        <w:autoSpaceDN/>
        <w:adjustRightInd/>
        <w:spacing w:before="244" w:line="320" w:lineRule="exact"/>
        <w:ind w:right="144"/>
        <w:jc w:val="both"/>
        <w:textAlignment w:val="baseline"/>
        <w:rPr>
          <w:rFonts w:ascii="Tahoma" w:hAnsi="Tahoma" w:cs="Tahoma"/>
          <w:i/>
          <w:iCs/>
          <w:spacing w:val="8"/>
          <w:sz w:val="22"/>
          <w:szCs w:val="22"/>
          <w:lang w:val="es-ES" w:eastAsia="es-ES"/>
        </w:rPr>
      </w:pPr>
      <w:r>
        <w:rPr>
          <w:rFonts w:ascii="Tahoma" w:hAnsi="Tahoma" w:cs="Tahoma"/>
          <w:spacing w:val="8"/>
          <w:sz w:val="22"/>
          <w:szCs w:val="22"/>
          <w:lang w:val="es-ES" w:eastAsia="es-ES"/>
        </w:rPr>
        <w:t>El Interés en cuestión está calificado por el legislador al detallar que el mismo debe ser legítimo, personal y directo, es decir, un interé</w:t>
      </w:r>
      <w:r>
        <w:rPr>
          <w:rFonts w:ascii="Tahoma" w:hAnsi="Tahoma" w:cs="Tahoma"/>
          <w:spacing w:val="8"/>
          <w:sz w:val="22"/>
          <w:szCs w:val="22"/>
          <w:lang w:val="es-ES" w:eastAsia="es-ES"/>
        </w:rPr>
        <w:t xml:space="preserve">s actual, concreto, que afecte directamente a sus destinatarios, a aquellos que han establecido una relación jurídica con la Administración Pública o a todo aquel a quien la actuación administrativa afecta en su derecho o interés legítimo </w:t>
      </w:r>
      <w:r>
        <w:rPr>
          <w:rFonts w:ascii="Tahoma" w:hAnsi="Tahoma" w:cs="Tahoma"/>
          <w:i/>
          <w:iCs/>
          <w:spacing w:val="8"/>
          <w:sz w:val="22"/>
          <w:szCs w:val="22"/>
          <w:lang w:val="es-ES" w:eastAsia="es-ES"/>
        </w:rPr>
        <w:t xml:space="preserve">(artículo 275 de </w:t>
      </w:r>
      <w:r>
        <w:rPr>
          <w:rFonts w:ascii="Tahoma" w:hAnsi="Tahoma" w:cs="Tahoma"/>
          <w:i/>
          <w:iCs/>
          <w:spacing w:val="8"/>
          <w:sz w:val="22"/>
          <w:szCs w:val="22"/>
          <w:lang w:val="es-ES" w:eastAsia="es-ES"/>
        </w:rPr>
        <w:t>la LGAP).</w:t>
      </w:r>
    </w:p>
    <w:p w:rsidR="00000000" w:rsidRDefault="00C2177F">
      <w:pPr>
        <w:kinsoku w:val="0"/>
        <w:overflowPunct w:val="0"/>
        <w:autoSpaceDE/>
        <w:autoSpaceDN/>
        <w:adjustRightInd/>
        <w:spacing w:before="315" w:line="320" w:lineRule="exact"/>
        <w:ind w:right="144"/>
        <w:jc w:val="both"/>
        <w:textAlignment w:val="baseline"/>
        <w:rPr>
          <w:rFonts w:ascii="Tahoma" w:hAnsi="Tahoma" w:cs="Tahoma"/>
          <w:sz w:val="22"/>
          <w:szCs w:val="22"/>
          <w:lang w:val="es-ES" w:eastAsia="es-ES"/>
        </w:rPr>
      </w:pPr>
      <w:r>
        <w:rPr>
          <w:rFonts w:ascii="Tahoma" w:hAnsi="Tahoma" w:cs="Tahoma"/>
          <w:sz w:val="22"/>
          <w:szCs w:val="22"/>
          <w:lang w:val="es-ES" w:eastAsia="es-ES"/>
        </w:rPr>
        <w:t>Así las cosas, al no mediar debido Interés Actual en cuanto a lo de marras, las Acciones estudiadas son absolutamente Improcedentes.</w:t>
      </w:r>
    </w:p>
    <w:p w:rsidR="00000000" w:rsidRDefault="00C2177F">
      <w:pPr>
        <w:kinsoku w:val="0"/>
        <w:overflowPunct w:val="0"/>
        <w:autoSpaceDE/>
        <w:autoSpaceDN/>
        <w:adjustRightInd/>
        <w:spacing w:before="337" w:line="320" w:lineRule="exact"/>
        <w:ind w:right="144"/>
        <w:jc w:val="both"/>
        <w:textAlignment w:val="baseline"/>
        <w:rPr>
          <w:rFonts w:ascii="Tahoma" w:hAnsi="Tahoma" w:cs="Tahoma"/>
          <w:spacing w:val="8"/>
          <w:sz w:val="22"/>
          <w:szCs w:val="22"/>
          <w:lang w:val="es-ES" w:eastAsia="es-ES"/>
        </w:rPr>
      </w:pPr>
      <w:r>
        <w:rPr>
          <w:rFonts w:ascii="Tahoma" w:hAnsi="Tahoma" w:cs="Tahoma"/>
          <w:b/>
          <w:bCs/>
          <w:i/>
          <w:iCs/>
          <w:spacing w:val="8"/>
          <w:sz w:val="22"/>
          <w:szCs w:val="22"/>
          <w:lang w:val="es-ES" w:eastAsia="es-ES"/>
        </w:rPr>
        <w:t xml:space="preserve">NULIDAD: </w:t>
      </w:r>
      <w:r>
        <w:rPr>
          <w:rFonts w:ascii="Tahoma" w:hAnsi="Tahoma" w:cs="Tahoma"/>
          <w:spacing w:val="8"/>
          <w:sz w:val="22"/>
          <w:szCs w:val="22"/>
          <w:lang w:val="es-ES" w:eastAsia="es-ES"/>
        </w:rPr>
        <w:t>Aunado a todo lo anterior, de la lectura del Acuerdo Objetado, se determina que é</w:t>
      </w:r>
      <w:r>
        <w:rPr>
          <w:rFonts w:ascii="Tahoma" w:hAnsi="Tahoma" w:cs="Tahoma"/>
          <w:spacing w:val="8"/>
          <w:sz w:val="22"/>
          <w:szCs w:val="22"/>
          <w:lang w:val="es-ES" w:eastAsia="es-ES"/>
        </w:rPr>
        <w:t>l mismo se emite con motivo a una Situación Relevante y en concordancia con la misma, como lo es el Proceso de Renovación de las Concesi</w:t>
      </w:r>
      <w:r w:rsidR="00031364">
        <w:rPr>
          <w:rFonts w:ascii="Tahoma" w:hAnsi="Tahoma" w:cs="Tahoma"/>
          <w:spacing w:val="8"/>
          <w:sz w:val="22"/>
          <w:szCs w:val="22"/>
          <w:lang w:val="es-ES" w:eastAsia="es-ES"/>
        </w:rPr>
        <w:t>o</w:t>
      </w:r>
      <w:r>
        <w:rPr>
          <w:rFonts w:ascii="Tahoma" w:hAnsi="Tahoma" w:cs="Tahoma"/>
          <w:spacing w:val="8"/>
          <w:sz w:val="22"/>
          <w:szCs w:val="22"/>
          <w:lang w:val="es-ES" w:eastAsia="es-ES"/>
        </w:rPr>
        <w:t>nes de Autobuses para el Periodo 2014 — 2021. Siendo emitido dicho Acuerdo conforme a las Potestades de Jerarquía, Dire</w:t>
      </w:r>
      <w:r>
        <w:rPr>
          <w:rFonts w:ascii="Tahoma" w:hAnsi="Tahoma" w:cs="Tahoma"/>
          <w:spacing w:val="8"/>
          <w:sz w:val="22"/>
          <w:szCs w:val="22"/>
          <w:lang w:val="es-ES" w:eastAsia="es-ES"/>
        </w:rPr>
        <w:t>cción y Control que en la Materia del Transporte Público presenta el Consejo Técnico de Transporte Público, según lo que expone de seguido:</w:t>
      </w:r>
    </w:p>
    <w:p w:rsidR="00000000" w:rsidRDefault="00C2177F">
      <w:pPr>
        <w:kinsoku w:val="0"/>
        <w:overflowPunct w:val="0"/>
        <w:autoSpaceDE/>
        <w:autoSpaceDN/>
        <w:adjustRightInd/>
        <w:spacing w:before="320" w:line="320" w:lineRule="exact"/>
        <w:ind w:right="144"/>
        <w:jc w:val="both"/>
        <w:textAlignment w:val="baseline"/>
        <w:rPr>
          <w:rFonts w:ascii="Tahoma" w:hAnsi="Tahoma" w:cs="Tahoma"/>
          <w:spacing w:val="4"/>
          <w:sz w:val="22"/>
          <w:szCs w:val="22"/>
          <w:lang w:val="es-ES" w:eastAsia="es-ES"/>
        </w:rPr>
      </w:pPr>
      <w:r>
        <w:rPr>
          <w:rFonts w:ascii="Tahoma" w:hAnsi="Tahoma" w:cs="Tahoma"/>
          <w:spacing w:val="4"/>
          <w:sz w:val="22"/>
          <w:szCs w:val="22"/>
          <w:lang w:val="es-ES" w:eastAsia="es-ES"/>
        </w:rPr>
        <w:t xml:space="preserve">En primera instancia y según se desprende del Acuerdo aquí recurrido, la Administración enmarca su actuación dentro </w:t>
      </w:r>
      <w:r>
        <w:rPr>
          <w:rFonts w:ascii="Tahoma" w:hAnsi="Tahoma" w:cs="Tahoma"/>
          <w:spacing w:val="4"/>
          <w:sz w:val="22"/>
          <w:szCs w:val="22"/>
          <w:lang w:val="es-ES" w:eastAsia="es-ES"/>
        </w:rPr>
        <w:t xml:space="preserve">de las potestades otorgadas por Ley al Consejo de Transporte Público, como rector de las políticas de transporte público y garante de la Continuidad del Servicio Público en cuestión, de conformidad con el artículo 6 de la Ley </w:t>
      </w:r>
      <w:r>
        <w:rPr>
          <w:rFonts w:ascii="Tahoma" w:hAnsi="Tahoma" w:cs="Tahoma"/>
          <w:b/>
          <w:bCs/>
          <w:spacing w:val="4"/>
          <w:sz w:val="22"/>
          <w:szCs w:val="22"/>
          <w:lang w:val="es-ES" w:eastAsia="es-ES"/>
        </w:rPr>
        <w:t xml:space="preserve">N° 7969, </w:t>
      </w:r>
      <w:r>
        <w:rPr>
          <w:rFonts w:ascii="Tahoma" w:hAnsi="Tahoma" w:cs="Tahoma"/>
          <w:spacing w:val="4"/>
          <w:sz w:val="22"/>
          <w:szCs w:val="22"/>
          <w:lang w:val="es-ES" w:eastAsia="es-ES"/>
        </w:rPr>
        <w:t>el cual señala:</w:t>
      </w:r>
    </w:p>
    <w:p w:rsidR="00000000" w:rsidRDefault="00C2177F">
      <w:pPr>
        <w:kinsoku w:val="0"/>
        <w:overflowPunct w:val="0"/>
        <w:autoSpaceDE/>
        <w:autoSpaceDN/>
        <w:adjustRightInd/>
        <w:spacing w:before="452" w:line="323" w:lineRule="exact"/>
        <w:ind w:left="576" w:right="720"/>
        <w:jc w:val="both"/>
        <w:textAlignment w:val="baseline"/>
        <w:rPr>
          <w:rFonts w:ascii="Tahoma" w:hAnsi="Tahoma" w:cs="Tahoma"/>
          <w:i/>
          <w:iCs/>
          <w:spacing w:val="9"/>
          <w:sz w:val="22"/>
          <w:szCs w:val="22"/>
          <w:lang w:val="es-ES" w:eastAsia="es-ES"/>
        </w:rPr>
      </w:pPr>
      <w:r>
        <w:rPr>
          <w:rFonts w:ascii="Tahoma" w:hAnsi="Tahoma" w:cs="Tahoma"/>
          <w:b/>
          <w:bCs/>
          <w:i/>
          <w:iCs/>
          <w:spacing w:val="9"/>
          <w:sz w:val="22"/>
          <w:szCs w:val="22"/>
          <w:lang w:val="es-ES" w:eastAsia="es-ES"/>
        </w:rPr>
        <w:t>"Artí</w:t>
      </w:r>
      <w:r>
        <w:rPr>
          <w:rFonts w:ascii="Tahoma" w:hAnsi="Tahoma" w:cs="Tahoma"/>
          <w:b/>
          <w:bCs/>
          <w:i/>
          <w:iCs/>
          <w:spacing w:val="9"/>
          <w:sz w:val="22"/>
          <w:szCs w:val="22"/>
          <w:lang w:val="es-ES" w:eastAsia="es-ES"/>
        </w:rPr>
        <w:t xml:space="preserve">culo 6. Naturaleza. </w:t>
      </w:r>
      <w:r>
        <w:rPr>
          <w:rFonts w:ascii="Tahoma" w:hAnsi="Tahoma" w:cs="Tahoma"/>
          <w:i/>
          <w:iCs/>
          <w:spacing w:val="9"/>
          <w:sz w:val="22"/>
          <w:szCs w:val="22"/>
          <w:lang w:val="es-ES" w:eastAsia="es-ES"/>
        </w:rPr>
        <w:t>La naturaleza jurídica del Consejo será de órgano desconcentrado, especializado en materia de transporte público y adscrito al Ministerio de Obras Públicas y Transportes.</w:t>
      </w:r>
    </w:p>
    <w:p w:rsidR="00000000" w:rsidRDefault="00C2177F">
      <w:pPr>
        <w:kinsoku w:val="0"/>
        <w:overflowPunct w:val="0"/>
        <w:autoSpaceDE/>
        <w:autoSpaceDN/>
        <w:adjustRightInd/>
        <w:spacing w:before="108" w:line="324" w:lineRule="exact"/>
        <w:ind w:left="576" w:right="720"/>
        <w:jc w:val="both"/>
        <w:textAlignment w:val="baseline"/>
        <w:rPr>
          <w:rFonts w:ascii="Tahoma" w:hAnsi="Tahoma" w:cs="Tahoma"/>
          <w:i/>
          <w:iCs/>
          <w:spacing w:val="6"/>
          <w:sz w:val="22"/>
          <w:szCs w:val="22"/>
          <w:lang w:val="es-ES" w:eastAsia="es-ES"/>
        </w:rPr>
      </w:pPr>
      <w:r>
        <w:rPr>
          <w:rFonts w:ascii="Tahoma" w:hAnsi="Tahoma" w:cs="Tahoma"/>
          <w:b/>
          <w:bCs/>
          <w:i/>
          <w:iCs/>
          <w:spacing w:val="6"/>
          <w:sz w:val="22"/>
          <w:szCs w:val="22"/>
          <w:lang w:val="es-ES" w:eastAsia="es-ES"/>
        </w:rPr>
        <w:t>Se encargará de definir las políticas y ejecutar los planes y pro</w:t>
      </w:r>
      <w:r>
        <w:rPr>
          <w:rFonts w:ascii="Tahoma" w:hAnsi="Tahoma" w:cs="Tahoma"/>
          <w:b/>
          <w:bCs/>
          <w:i/>
          <w:iCs/>
          <w:spacing w:val="6"/>
          <w:sz w:val="22"/>
          <w:szCs w:val="22"/>
          <w:lang w:val="es-ES" w:eastAsia="es-ES"/>
        </w:rPr>
        <w:t xml:space="preserve">gramas nacionales relacionados con las materias de su competencia; para tal efecto, deberá coordinar sus actividades con las instituciones y los organismos públicos con atribuciones concurrentes o conexas a las del Consejo. ..." </w:t>
      </w:r>
      <w:r>
        <w:rPr>
          <w:rFonts w:ascii="Tahoma" w:hAnsi="Tahoma" w:cs="Tahoma"/>
          <w:i/>
          <w:iCs/>
          <w:spacing w:val="6"/>
          <w:sz w:val="22"/>
          <w:szCs w:val="22"/>
          <w:lang w:val="es-ES" w:eastAsia="es-ES"/>
        </w:rPr>
        <w:t>(</w:t>
      </w:r>
      <w:proofErr w:type="gramStart"/>
      <w:r>
        <w:rPr>
          <w:rFonts w:ascii="Tahoma" w:hAnsi="Tahoma" w:cs="Tahoma"/>
          <w:i/>
          <w:iCs/>
          <w:spacing w:val="6"/>
          <w:sz w:val="22"/>
          <w:szCs w:val="22"/>
          <w:lang w:val="es-ES" w:eastAsia="es-ES"/>
        </w:rPr>
        <w:t>el</w:t>
      </w:r>
      <w:proofErr w:type="gramEnd"/>
      <w:r>
        <w:rPr>
          <w:rFonts w:ascii="Tahoma" w:hAnsi="Tahoma" w:cs="Tahoma"/>
          <w:i/>
          <w:iCs/>
          <w:spacing w:val="6"/>
          <w:sz w:val="22"/>
          <w:szCs w:val="22"/>
          <w:lang w:val="es-ES" w:eastAsia="es-ES"/>
        </w:rPr>
        <w:t xml:space="preserve"> destacado no es del original)</w:t>
      </w:r>
    </w:p>
    <w:p w:rsidR="00000000" w:rsidRDefault="00C2177F">
      <w:pPr>
        <w:kinsoku w:val="0"/>
        <w:overflowPunct w:val="0"/>
        <w:autoSpaceDE/>
        <w:autoSpaceDN/>
        <w:adjustRightInd/>
        <w:spacing w:before="431" w:line="320" w:lineRule="exact"/>
        <w:ind w:right="144"/>
        <w:jc w:val="both"/>
        <w:textAlignment w:val="baseline"/>
        <w:rPr>
          <w:rFonts w:ascii="Tahoma" w:hAnsi="Tahoma" w:cs="Tahoma"/>
          <w:sz w:val="22"/>
          <w:szCs w:val="22"/>
          <w:lang w:val="es-ES" w:eastAsia="es-ES"/>
        </w:rPr>
      </w:pPr>
      <w:r>
        <w:rPr>
          <w:rFonts w:ascii="Tahoma" w:hAnsi="Tahoma" w:cs="Tahoma"/>
          <w:sz w:val="22"/>
          <w:szCs w:val="22"/>
          <w:lang w:val="es-ES" w:eastAsia="es-ES"/>
        </w:rPr>
        <w:t>Asimismo y según la Ley, dentro de las atribuciones del Consejo de Transporte Público se encuentran las siguientes:</w:t>
      </w:r>
    </w:p>
    <w:p w:rsidR="00000000" w:rsidRDefault="00C2177F">
      <w:pPr>
        <w:widowControl/>
        <w:rPr>
          <w:sz w:val="24"/>
          <w:szCs w:val="24"/>
        </w:rPr>
        <w:sectPr w:rsidR="00000000">
          <w:pgSz w:w="12134" w:h="15840"/>
          <w:pgMar w:top="1360" w:right="1440" w:bottom="1442" w:left="1694" w:header="720" w:footer="720" w:gutter="0"/>
          <w:cols w:space="720"/>
          <w:noEndnote/>
        </w:sectPr>
      </w:pPr>
    </w:p>
    <w:p w:rsidR="00000000" w:rsidRDefault="00C2177F">
      <w:pPr>
        <w:kinsoku w:val="0"/>
        <w:overflowPunct w:val="0"/>
        <w:autoSpaceDE/>
        <w:autoSpaceDN/>
        <w:adjustRightInd/>
        <w:spacing w:before="10" w:line="278" w:lineRule="exact"/>
        <w:ind w:left="576"/>
        <w:textAlignment w:val="baseline"/>
        <w:rPr>
          <w:rFonts w:ascii="Arial" w:hAnsi="Arial" w:cs="Arial"/>
          <w:b/>
          <w:bCs/>
          <w:i/>
          <w:iCs/>
          <w:spacing w:val="-4"/>
          <w:sz w:val="23"/>
          <w:szCs w:val="23"/>
          <w:lang w:val="es-ES" w:eastAsia="es-ES"/>
        </w:rPr>
      </w:pPr>
      <w:r>
        <w:rPr>
          <w:rFonts w:ascii="Arial" w:hAnsi="Arial" w:cs="Arial"/>
          <w:b/>
          <w:bCs/>
          <w:i/>
          <w:iCs/>
          <w:spacing w:val="-4"/>
          <w:sz w:val="23"/>
          <w:szCs w:val="23"/>
          <w:lang w:val="es-ES" w:eastAsia="es-ES"/>
        </w:rPr>
        <w:t>..."ARTÍCULO 7.- Atribuciones del Consejo</w:t>
      </w:r>
    </w:p>
    <w:p w:rsidR="00000000" w:rsidRDefault="00C2177F">
      <w:pPr>
        <w:kinsoku w:val="0"/>
        <w:overflowPunct w:val="0"/>
        <w:autoSpaceDE/>
        <w:autoSpaceDN/>
        <w:adjustRightInd/>
        <w:spacing w:before="346" w:line="308" w:lineRule="exact"/>
        <w:ind w:left="576" w:right="1152"/>
        <w:jc w:val="both"/>
        <w:textAlignment w:val="baseline"/>
        <w:rPr>
          <w:rFonts w:ascii="Arial" w:hAnsi="Arial" w:cs="Arial"/>
          <w:i/>
          <w:iCs/>
          <w:sz w:val="23"/>
          <w:szCs w:val="23"/>
          <w:lang w:val="es-ES" w:eastAsia="es-ES"/>
        </w:rPr>
      </w:pPr>
      <w:r>
        <w:rPr>
          <w:rFonts w:ascii="Arial" w:hAnsi="Arial" w:cs="Arial"/>
          <w:i/>
          <w:iCs/>
          <w:sz w:val="23"/>
          <w:szCs w:val="23"/>
          <w:lang w:val="es-ES" w:eastAsia="es-ES"/>
        </w:rPr>
        <w:t>El Consejo, en el ejercicio de sus competenci</w:t>
      </w:r>
      <w:r>
        <w:rPr>
          <w:rFonts w:ascii="Arial" w:hAnsi="Arial" w:cs="Arial"/>
          <w:i/>
          <w:iCs/>
          <w:sz w:val="23"/>
          <w:szCs w:val="23"/>
          <w:lang w:val="es-ES" w:eastAsia="es-ES"/>
        </w:rPr>
        <w:t>as, tendrá las siguientes atribuciones:</w:t>
      </w:r>
    </w:p>
    <w:p w:rsidR="00000000" w:rsidRDefault="00C2177F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266" w:line="322" w:lineRule="exact"/>
        <w:ind w:right="1152"/>
        <w:jc w:val="both"/>
        <w:textAlignment w:val="baseline"/>
        <w:rPr>
          <w:rFonts w:ascii="Arial" w:hAnsi="Arial" w:cs="Arial"/>
          <w:i/>
          <w:iCs/>
          <w:sz w:val="23"/>
          <w:szCs w:val="23"/>
          <w:lang w:val="es-ES" w:eastAsia="es-ES"/>
        </w:rPr>
      </w:pPr>
      <w:r>
        <w:rPr>
          <w:rFonts w:ascii="Arial" w:hAnsi="Arial" w:cs="Arial"/>
          <w:i/>
          <w:iCs/>
          <w:sz w:val="23"/>
          <w:szCs w:val="23"/>
          <w:lang w:val="es-ES" w:eastAsia="es-ES"/>
        </w:rPr>
        <w:t>Coordinar la aplicación correcta de las políticas de transporte público, su planeamiento, la revisión técnica, el otorgamiento y la administración de las concesiones, así como la regulació</w:t>
      </w:r>
      <w:r>
        <w:rPr>
          <w:rFonts w:ascii="Arial" w:hAnsi="Arial" w:cs="Arial"/>
          <w:i/>
          <w:iCs/>
          <w:sz w:val="23"/>
          <w:szCs w:val="23"/>
          <w:lang w:val="es-ES" w:eastAsia="es-ES"/>
        </w:rPr>
        <w:t>n de los permisos que legalmente procedan.</w:t>
      </w:r>
    </w:p>
    <w:p w:rsidR="00000000" w:rsidRDefault="00C2177F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276" w:line="322" w:lineRule="exact"/>
        <w:ind w:right="1152"/>
        <w:jc w:val="both"/>
        <w:textAlignment w:val="baseline"/>
        <w:rPr>
          <w:rFonts w:ascii="Arial" w:hAnsi="Arial" w:cs="Arial"/>
          <w:i/>
          <w:iCs/>
          <w:spacing w:val="3"/>
          <w:sz w:val="23"/>
          <w:szCs w:val="23"/>
          <w:lang w:val="es-ES" w:eastAsia="es-ES"/>
        </w:rPr>
      </w:pPr>
      <w:r>
        <w:rPr>
          <w:rFonts w:ascii="Arial" w:hAnsi="Arial" w:cs="Arial"/>
          <w:i/>
          <w:iCs/>
          <w:spacing w:val="3"/>
          <w:sz w:val="23"/>
          <w:szCs w:val="23"/>
          <w:lang w:val="es-ES" w:eastAsia="es-ES"/>
        </w:rPr>
        <w:t>Estudiar y emitir opinión sobre los asuntos sometidos a su conocimiento por cualquier dependencia o institución involucrada en servicios de transporte público, planeamiento, revisión técnica, administración y otor</w:t>
      </w:r>
      <w:r>
        <w:rPr>
          <w:rFonts w:ascii="Arial" w:hAnsi="Arial" w:cs="Arial"/>
          <w:i/>
          <w:iCs/>
          <w:spacing w:val="3"/>
          <w:sz w:val="23"/>
          <w:szCs w:val="23"/>
          <w:lang w:val="es-ES" w:eastAsia="es-ES"/>
        </w:rPr>
        <w:t>gamiento de concesiones y permisos.</w:t>
      </w:r>
    </w:p>
    <w:p w:rsidR="00000000" w:rsidRDefault="00C2177F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274" w:line="322" w:lineRule="exact"/>
        <w:ind w:right="1152"/>
        <w:jc w:val="both"/>
        <w:textAlignment w:val="baseline"/>
        <w:rPr>
          <w:rFonts w:ascii="Arial" w:hAnsi="Arial" w:cs="Arial"/>
          <w:i/>
          <w:iCs/>
          <w:sz w:val="23"/>
          <w:szCs w:val="23"/>
          <w:lang w:val="es-ES" w:eastAsia="es-ES"/>
        </w:rPr>
      </w:pPr>
      <w:r>
        <w:rPr>
          <w:rFonts w:ascii="Arial" w:hAnsi="Arial" w:cs="Arial"/>
          <w:i/>
          <w:iCs/>
          <w:sz w:val="23"/>
          <w:szCs w:val="23"/>
          <w:lang w:val="es-ES" w:eastAsia="es-ES"/>
        </w:rPr>
        <w:t>Servir como órgano que efectivamente facilite, en razón de su ejecutividad, la coordinación interinstitucional entre las dependencias del Poder Ejecutivo, el sector empresarial, los usuarios y los clientes de los servici</w:t>
      </w:r>
      <w:r>
        <w:rPr>
          <w:rFonts w:ascii="Arial" w:hAnsi="Arial" w:cs="Arial"/>
          <w:i/>
          <w:iCs/>
          <w:sz w:val="23"/>
          <w:szCs w:val="23"/>
          <w:lang w:val="es-ES" w:eastAsia="es-ES"/>
        </w:rPr>
        <w:t>os de transporte público, los organismos internacionales y otras entidades públicas o privadas que en su gestión se relacionen con los servicios regulados en esta ley.</w:t>
      </w:r>
    </w:p>
    <w:p w:rsidR="00000000" w:rsidRDefault="00C2177F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279" w:line="322" w:lineRule="exact"/>
        <w:ind w:right="1152"/>
        <w:jc w:val="both"/>
        <w:textAlignment w:val="baseline"/>
        <w:rPr>
          <w:rFonts w:ascii="Arial" w:hAnsi="Arial" w:cs="Arial"/>
          <w:i/>
          <w:iCs/>
          <w:sz w:val="23"/>
          <w:szCs w:val="23"/>
          <w:lang w:val="es-ES" w:eastAsia="es-ES"/>
        </w:rPr>
      </w:pPr>
      <w:r>
        <w:rPr>
          <w:rFonts w:ascii="Arial" w:hAnsi="Arial" w:cs="Arial"/>
          <w:i/>
          <w:iCs/>
          <w:sz w:val="23"/>
          <w:szCs w:val="23"/>
          <w:lang w:val="es-ES" w:eastAsia="es-ES"/>
        </w:rPr>
        <w:t>Establecer y recomendar normas, procedimientos y acciones que puedan mejorar las polític</w:t>
      </w:r>
      <w:r>
        <w:rPr>
          <w:rFonts w:ascii="Arial" w:hAnsi="Arial" w:cs="Arial"/>
          <w:i/>
          <w:iCs/>
          <w:sz w:val="23"/>
          <w:szCs w:val="23"/>
          <w:lang w:val="es-ES" w:eastAsia="es-ES"/>
        </w:rPr>
        <w:t>as y directrices en materia de transporte público, planeamiento, revisión técnica, administración y otorgamiento de concesiones y permisos."... (El subrayado no es del original)</w:t>
      </w:r>
    </w:p>
    <w:p w:rsidR="00000000" w:rsidRDefault="00C2177F">
      <w:pPr>
        <w:kinsoku w:val="0"/>
        <w:overflowPunct w:val="0"/>
        <w:autoSpaceDE/>
        <w:autoSpaceDN/>
        <w:adjustRightInd/>
        <w:spacing w:before="418" w:after="390" w:line="327" w:lineRule="exact"/>
        <w:ind w:right="576"/>
        <w:jc w:val="both"/>
        <w:textAlignment w:val="baseline"/>
        <w:rPr>
          <w:rFonts w:ascii="Arial" w:hAnsi="Arial" w:cs="Arial"/>
          <w:spacing w:val="4"/>
          <w:sz w:val="23"/>
          <w:szCs w:val="23"/>
          <w:lang w:val="es-ES" w:eastAsia="es-ES"/>
        </w:rPr>
      </w:pPr>
      <w:r>
        <w:rPr>
          <w:rFonts w:ascii="Arial" w:hAnsi="Arial" w:cs="Arial"/>
          <w:spacing w:val="4"/>
          <w:sz w:val="23"/>
          <w:szCs w:val="23"/>
          <w:lang w:val="es-ES" w:eastAsia="es-ES"/>
        </w:rPr>
        <w:t>Según lo anterior, las actuaciones desplegadas por el Consejo de Transporte Pú</w:t>
      </w:r>
      <w:r>
        <w:rPr>
          <w:rFonts w:ascii="Arial" w:hAnsi="Arial" w:cs="Arial"/>
          <w:spacing w:val="4"/>
          <w:sz w:val="23"/>
          <w:szCs w:val="23"/>
          <w:lang w:val="es-ES" w:eastAsia="es-ES"/>
        </w:rPr>
        <w:t xml:space="preserve">blico se enmarcan dentro las facultades y potestades </w:t>
      </w:r>
      <w:r>
        <w:rPr>
          <w:rFonts w:ascii="Arial" w:hAnsi="Arial" w:cs="Arial"/>
          <w:i/>
          <w:iCs/>
          <w:spacing w:val="4"/>
          <w:sz w:val="23"/>
          <w:szCs w:val="23"/>
          <w:lang w:val="es-ES" w:eastAsia="es-ES"/>
        </w:rPr>
        <w:t xml:space="preserve">(de imperio, inclusive) </w:t>
      </w:r>
      <w:r>
        <w:rPr>
          <w:rFonts w:ascii="Arial" w:hAnsi="Arial" w:cs="Arial"/>
          <w:spacing w:val="4"/>
          <w:sz w:val="23"/>
          <w:szCs w:val="23"/>
          <w:lang w:val="es-ES" w:eastAsia="es-ES"/>
        </w:rPr>
        <w:t>que le fueron conferidas por Ley. En sentido conteste a lo dicho, la Ley N° 3503, Ley Reguladora del Transporte Remunerado de Personas en Vehículos Automotores establece:</w:t>
      </w:r>
    </w:p>
    <w:p w:rsidR="00000000" w:rsidRDefault="00C2177F">
      <w:pPr>
        <w:kinsoku w:val="0"/>
        <w:overflowPunct w:val="0"/>
        <w:autoSpaceDE/>
        <w:autoSpaceDN/>
        <w:adjustRightInd/>
        <w:spacing w:before="52" w:line="20" w:lineRule="exact"/>
        <w:textAlignment w:val="baseline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404"/>
        <w:gridCol w:w="107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2"/>
        </w:trPr>
        <w:tc>
          <w:tcPr>
            <w:tcW w:w="84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2177F">
            <w:pPr>
              <w:kinsoku w:val="0"/>
              <w:overflowPunct w:val="0"/>
              <w:autoSpaceDE/>
              <w:autoSpaceDN/>
              <w:adjustRightInd/>
              <w:spacing w:line="303" w:lineRule="exact"/>
              <w:ind w:left="576" w:right="108"/>
              <w:jc w:val="both"/>
              <w:textAlignment w:val="baseline"/>
              <w:rPr>
                <w:rFonts w:ascii="Arial" w:hAnsi="Arial" w:cs="Arial"/>
                <w:i/>
                <w:iCs/>
                <w:sz w:val="23"/>
                <w:szCs w:val="23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3"/>
                <w:szCs w:val="23"/>
                <w:lang w:val="es-ES" w:eastAsia="es-ES"/>
              </w:rPr>
              <w:t>"Artícu</w:t>
            </w:r>
            <w:r>
              <w:rPr>
                <w:rFonts w:ascii="Arial" w:hAnsi="Arial" w:cs="Arial"/>
                <w:b/>
                <w:bCs/>
                <w:i/>
                <w:iCs/>
                <w:sz w:val="23"/>
                <w:szCs w:val="23"/>
                <w:lang w:val="es-ES" w:eastAsia="es-ES"/>
              </w:rPr>
              <w:t xml:space="preserve">lo 2.- </w:t>
            </w:r>
            <w:r>
              <w:rPr>
                <w:rFonts w:ascii="Arial" w:hAnsi="Arial" w:cs="Arial"/>
                <w:i/>
                <w:iCs/>
                <w:sz w:val="23"/>
                <w:szCs w:val="23"/>
                <w:lang w:val="es-ES" w:eastAsia="es-ES"/>
              </w:rPr>
              <w:t>Es competencia del Ministerio de Transportes lo relativo al tránsito y transporte automotor de personas en el país. Este Ministerio podrá tomar a su cargo la prestación de estos servicios públicos ya sea en forma directa o mediante otras institucion</w:t>
            </w:r>
            <w:r>
              <w:rPr>
                <w:rFonts w:ascii="Arial" w:hAnsi="Arial" w:cs="Arial"/>
                <w:i/>
                <w:iCs/>
                <w:sz w:val="23"/>
                <w:szCs w:val="23"/>
                <w:lang w:val="es-ES" w:eastAsia="es-ES"/>
              </w:rPr>
              <w:t>es del Estado, o bien conceder derechos a empresarios particulares para explotarlos.</w:t>
            </w:r>
          </w:p>
          <w:p w:rsidR="00000000" w:rsidRDefault="00C2177F">
            <w:pPr>
              <w:kinsoku w:val="0"/>
              <w:overflowPunct w:val="0"/>
              <w:autoSpaceDE/>
              <w:autoSpaceDN/>
              <w:adjustRightInd/>
              <w:spacing w:before="718" w:after="579" w:line="215" w:lineRule="exact"/>
              <w:ind w:right="108"/>
              <w:jc w:val="right"/>
              <w:textAlignment w:val="baseline"/>
              <w:rPr>
                <w:rFonts w:ascii="Garamond" w:hAnsi="Garamond" w:cs="Garamond"/>
                <w:i/>
                <w:iCs/>
                <w:lang w:val="es-ES" w:eastAsia="es-ES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2177F">
            <w:pPr>
              <w:kinsoku w:val="0"/>
              <w:overflowPunct w:val="0"/>
              <w:autoSpaceDE/>
              <w:autoSpaceDN/>
              <w:adjustRightInd/>
              <w:spacing w:before="1904" w:line="1126" w:lineRule="exact"/>
              <w:jc w:val="center"/>
              <w:textAlignment w:val="baseline"/>
              <w:rPr>
                <w:rFonts w:ascii="Garamond" w:hAnsi="Garamond" w:cs="Garamond"/>
                <w:w w:val="105"/>
                <w:sz w:val="131"/>
                <w:szCs w:val="131"/>
                <w:lang w:val="es-ES" w:eastAsia="es-ES"/>
              </w:rPr>
            </w:pPr>
          </w:p>
        </w:tc>
      </w:tr>
    </w:tbl>
    <w:p w:rsidR="00000000" w:rsidRDefault="00C2177F">
      <w:pPr>
        <w:widowControl/>
        <w:rPr>
          <w:sz w:val="24"/>
          <w:szCs w:val="24"/>
        </w:rPr>
        <w:sectPr w:rsidR="00000000">
          <w:pgSz w:w="12134" w:h="15840"/>
          <w:pgMar w:top="1440" w:right="1019" w:bottom="160" w:left="1635" w:header="720" w:footer="720" w:gutter="0"/>
          <w:cols w:space="720"/>
          <w:noEndnote/>
        </w:sectPr>
      </w:pPr>
    </w:p>
    <w:p w:rsidR="00000000" w:rsidRDefault="00C2177F">
      <w:pPr>
        <w:kinsoku w:val="0"/>
        <w:overflowPunct w:val="0"/>
        <w:autoSpaceDE/>
        <w:autoSpaceDN/>
        <w:adjustRightInd/>
        <w:spacing w:line="309" w:lineRule="exact"/>
        <w:ind w:left="576" w:right="576"/>
        <w:jc w:val="both"/>
        <w:textAlignment w:val="baseline"/>
        <w:rPr>
          <w:rFonts w:ascii="Arial" w:hAnsi="Arial" w:cs="Arial"/>
          <w:i/>
          <w:iCs/>
          <w:spacing w:val="3"/>
          <w:sz w:val="23"/>
          <w:szCs w:val="23"/>
          <w:lang w:val="es-ES" w:eastAsia="es-ES"/>
        </w:rPr>
      </w:pPr>
      <w:r>
        <w:rPr>
          <w:rFonts w:ascii="Arial" w:hAnsi="Arial" w:cs="Arial"/>
          <w:i/>
          <w:iCs/>
          <w:spacing w:val="3"/>
          <w:sz w:val="23"/>
          <w:szCs w:val="23"/>
          <w:lang w:val="es-ES" w:eastAsia="es-ES"/>
        </w:rPr>
        <w:t>El M</w:t>
      </w:r>
      <w:r>
        <w:rPr>
          <w:rFonts w:ascii="Arial" w:hAnsi="Arial" w:cs="Arial"/>
          <w:i/>
          <w:iCs/>
          <w:spacing w:val="3"/>
          <w:sz w:val="23"/>
          <w:szCs w:val="23"/>
          <w:lang w:val="es-ES" w:eastAsia="es-ES"/>
        </w:rPr>
        <w:t>inister</w:t>
      </w:r>
      <w:r w:rsidR="00031364">
        <w:rPr>
          <w:rFonts w:ascii="Arial" w:hAnsi="Arial" w:cs="Arial"/>
          <w:i/>
          <w:iCs/>
          <w:spacing w:val="3"/>
          <w:sz w:val="23"/>
          <w:szCs w:val="23"/>
          <w:lang w:val="es-ES" w:eastAsia="es-ES"/>
        </w:rPr>
        <w:t>i</w:t>
      </w:r>
      <w:r>
        <w:rPr>
          <w:rFonts w:ascii="Arial" w:hAnsi="Arial" w:cs="Arial"/>
          <w:i/>
          <w:iCs/>
          <w:spacing w:val="3"/>
          <w:sz w:val="23"/>
          <w:szCs w:val="23"/>
          <w:lang w:val="es-ES" w:eastAsia="es-ES"/>
        </w:rPr>
        <w:t>o de Obras Públicas y Transportes ejercerá la vigilancia, el control y la regulación del tránsito y del transporte automotor de personas. El control de los servicios de transporte pú</w:t>
      </w:r>
      <w:r>
        <w:rPr>
          <w:rFonts w:ascii="Arial" w:hAnsi="Arial" w:cs="Arial"/>
          <w:i/>
          <w:iCs/>
          <w:spacing w:val="3"/>
          <w:sz w:val="23"/>
          <w:szCs w:val="23"/>
          <w:lang w:val="es-ES" w:eastAsia="es-ES"/>
        </w:rPr>
        <w:t>blico concesionados o autorizados, se ejercerá conjuntamente con la Autoridad Reguladora de los Servicios Públicos, para garantizar la aplicación correcta de los servicios y el pleno cumplimiento de las disposiciones contractuales correspondientes.</w:t>
      </w:r>
    </w:p>
    <w:p w:rsidR="00000000" w:rsidRDefault="00C2177F">
      <w:pPr>
        <w:kinsoku w:val="0"/>
        <w:overflowPunct w:val="0"/>
        <w:autoSpaceDE/>
        <w:autoSpaceDN/>
        <w:adjustRightInd/>
        <w:spacing w:before="393" w:line="276" w:lineRule="exact"/>
        <w:ind w:left="576"/>
        <w:textAlignment w:val="baseline"/>
        <w:rPr>
          <w:rFonts w:ascii="Arial" w:hAnsi="Arial" w:cs="Arial"/>
          <w:i/>
          <w:iCs/>
          <w:spacing w:val="4"/>
          <w:sz w:val="23"/>
          <w:szCs w:val="23"/>
          <w:lang w:val="es-ES" w:eastAsia="es-ES"/>
        </w:rPr>
      </w:pPr>
      <w:r>
        <w:rPr>
          <w:rFonts w:ascii="Arial" w:hAnsi="Arial" w:cs="Arial"/>
          <w:i/>
          <w:iCs/>
          <w:spacing w:val="4"/>
          <w:sz w:val="23"/>
          <w:szCs w:val="23"/>
          <w:lang w:val="es-ES" w:eastAsia="es-ES"/>
        </w:rPr>
        <w:t>A fin d</w:t>
      </w:r>
      <w:r>
        <w:rPr>
          <w:rFonts w:ascii="Arial" w:hAnsi="Arial" w:cs="Arial"/>
          <w:i/>
          <w:iCs/>
          <w:spacing w:val="4"/>
          <w:sz w:val="23"/>
          <w:szCs w:val="23"/>
          <w:lang w:val="es-ES" w:eastAsia="es-ES"/>
        </w:rPr>
        <w:t>e cumplir con esta obligación, el Ministerio podrá:</w:t>
      </w:r>
    </w:p>
    <w:p w:rsidR="00000000" w:rsidRDefault="00C2177F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before="360" w:line="274" w:lineRule="exact"/>
        <w:textAlignment w:val="baseline"/>
        <w:rPr>
          <w:rFonts w:ascii="Arial" w:hAnsi="Arial" w:cs="Arial"/>
          <w:i/>
          <w:iCs/>
          <w:spacing w:val="3"/>
          <w:sz w:val="23"/>
          <w:szCs w:val="23"/>
          <w:lang w:val="es-ES" w:eastAsia="es-ES"/>
        </w:rPr>
      </w:pPr>
      <w:r>
        <w:rPr>
          <w:rFonts w:ascii="Arial" w:hAnsi="Arial" w:cs="Arial"/>
          <w:i/>
          <w:iCs/>
          <w:spacing w:val="3"/>
          <w:sz w:val="23"/>
          <w:szCs w:val="23"/>
          <w:lang w:val="es-ES" w:eastAsia="es-ES"/>
        </w:rPr>
        <w:t>Fijar itinerarios, horarios, condiciones y tarifas.</w:t>
      </w:r>
    </w:p>
    <w:p w:rsidR="00000000" w:rsidRDefault="00C2177F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before="317" w:line="320" w:lineRule="exact"/>
        <w:ind w:right="576"/>
        <w:jc w:val="both"/>
        <w:textAlignment w:val="baseline"/>
        <w:rPr>
          <w:rFonts w:ascii="Arial" w:hAnsi="Arial" w:cs="Arial"/>
          <w:i/>
          <w:iCs/>
          <w:sz w:val="23"/>
          <w:szCs w:val="23"/>
          <w:lang w:val="es-ES" w:eastAsia="es-ES"/>
        </w:rPr>
      </w:pPr>
      <w:r>
        <w:rPr>
          <w:rFonts w:ascii="Arial" w:hAnsi="Arial" w:cs="Arial"/>
          <w:i/>
          <w:iCs/>
          <w:sz w:val="23"/>
          <w:szCs w:val="23"/>
          <w:lang w:val="es-ES" w:eastAsia="es-ES"/>
        </w:rPr>
        <w:t>Expedir los reglamentos que juzgue pertinentes sobre tránsito y transporte en el territorio costarricense.</w:t>
      </w:r>
    </w:p>
    <w:p w:rsidR="00000000" w:rsidRDefault="00C2177F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before="333" w:line="322" w:lineRule="exact"/>
        <w:ind w:right="576"/>
        <w:jc w:val="both"/>
        <w:textAlignment w:val="baseline"/>
        <w:rPr>
          <w:rFonts w:ascii="Arial" w:hAnsi="Arial" w:cs="Arial"/>
          <w:i/>
          <w:iCs/>
          <w:sz w:val="23"/>
          <w:szCs w:val="23"/>
          <w:lang w:val="es-ES" w:eastAsia="es-ES"/>
        </w:rPr>
      </w:pPr>
      <w:r>
        <w:rPr>
          <w:rFonts w:ascii="Arial" w:hAnsi="Arial" w:cs="Arial"/>
          <w:i/>
          <w:iCs/>
          <w:sz w:val="23"/>
          <w:szCs w:val="23"/>
          <w:lang w:val="es-ES" w:eastAsia="es-ES"/>
        </w:rPr>
        <w:t>Adoptar las medidas para que se satisfaga</w:t>
      </w:r>
      <w:r>
        <w:rPr>
          <w:rFonts w:ascii="Arial" w:hAnsi="Arial" w:cs="Arial"/>
          <w:i/>
          <w:iCs/>
          <w:sz w:val="23"/>
          <w:szCs w:val="23"/>
          <w:lang w:val="es-ES" w:eastAsia="es-ES"/>
        </w:rPr>
        <w:t>n, en forma eficiente, las necesidades del tránsito de vehículos y del transporte de personas.</w:t>
      </w:r>
    </w:p>
    <w:p w:rsidR="00000000" w:rsidRDefault="00C2177F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before="327" w:line="313" w:lineRule="exact"/>
        <w:ind w:right="576"/>
        <w:jc w:val="both"/>
        <w:textAlignment w:val="baseline"/>
        <w:rPr>
          <w:rFonts w:ascii="Arial" w:hAnsi="Arial" w:cs="Arial"/>
          <w:i/>
          <w:iCs/>
          <w:sz w:val="23"/>
          <w:szCs w:val="23"/>
          <w:lang w:val="es-ES" w:eastAsia="es-ES"/>
        </w:rPr>
      </w:pPr>
      <w:r>
        <w:rPr>
          <w:rFonts w:ascii="Arial" w:hAnsi="Arial" w:cs="Arial"/>
          <w:i/>
          <w:iCs/>
          <w:sz w:val="23"/>
          <w:szCs w:val="23"/>
          <w:lang w:val="es-ES" w:eastAsia="es-ES"/>
        </w:rPr>
        <w:t>Realizar los estudios técnicos indispensables para la mayor eficiencia, continuidad y seguridad de los servicios públicos.</w:t>
      </w:r>
    </w:p>
    <w:p w:rsidR="00000000" w:rsidRDefault="00C2177F">
      <w:pPr>
        <w:kinsoku w:val="0"/>
        <w:overflowPunct w:val="0"/>
        <w:autoSpaceDE/>
        <w:autoSpaceDN/>
        <w:adjustRightInd/>
        <w:spacing w:before="326" w:line="325" w:lineRule="exact"/>
        <w:ind w:left="576" w:right="576"/>
        <w:jc w:val="both"/>
        <w:textAlignment w:val="baseline"/>
        <w:rPr>
          <w:rFonts w:ascii="Arial" w:hAnsi="Arial" w:cs="Arial"/>
          <w:i/>
          <w:iCs/>
          <w:sz w:val="23"/>
          <w:szCs w:val="23"/>
          <w:lang w:val="es-ES" w:eastAsia="es-ES"/>
        </w:rPr>
      </w:pPr>
      <w:r>
        <w:rPr>
          <w:rFonts w:ascii="Arial" w:hAnsi="Arial" w:cs="Arial"/>
          <w:i/>
          <w:iCs/>
          <w:sz w:val="23"/>
          <w:szCs w:val="23"/>
          <w:lang w:val="es-ES" w:eastAsia="es-ES"/>
        </w:rPr>
        <w:t>Para atender estas funciones, en el Ministerio de Obras Públicas y Transportes existirán los órganos internos necesarios." (El subrayado no es del original)</w:t>
      </w:r>
    </w:p>
    <w:p w:rsidR="00000000" w:rsidRDefault="00C2177F">
      <w:pPr>
        <w:kinsoku w:val="0"/>
        <w:overflowPunct w:val="0"/>
        <w:autoSpaceDE/>
        <w:autoSpaceDN/>
        <w:adjustRightInd/>
        <w:spacing w:before="431" w:line="322" w:lineRule="exact"/>
        <w:jc w:val="both"/>
        <w:textAlignment w:val="baseline"/>
        <w:rPr>
          <w:rFonts w:ascii="Arial" w:hAnsi="Arial" w:cs="Arial"/>
          <w:b/>
          <w:bCs/>
          <w:spacing w:val="-2"/>
          <w:sz w:val="23"/>
          <w:szCs w:val="23"/>
          <w:lang w:val="es-ES" w:eastAsia="es-ES"/>
        </w:rPr>
      </w:pPr>
      <w:r>
        <w:rPr>
          <w:rFonts w:ascii="Arial" w:hAnsi="Arial" w:cs="Arial"/>
          <w:spacing w:val="-2"/>
          <w:sz w:val="23"/>
          <w:szCs w:val="23"/>
          <w:lang w:val="es-ES" w:eastAsia="es-ES"/>
        </w:rPr>
        <w:t>Conforme a lo expuesto, el acto objeto de impugnación se enmarca plenamente dentro de las potestade</w:t>
      </w:r>
      <w:r>
        <w:rPr>
          <w:rFonts w:ascii="Arial" w:hAnsi="Arial" w:cs="Arial"/>
          <w:spacing w:val="-2"/>
          <w:sz w:val="23"/>
          <w:szCs w:val="23"/>
          <w:lang w:val="es-ES" w:eastAsia="es-ES"/>
        </w:rPr>
        <w:t xml:space="preserve">s, competencias, atribuciones y actuaciones pertinentes y necesarias del Consejo de Transporte Público. Razones por las cuales no se pueden estimar como procedentes las Acciones de marras. </w:t>
      </w:r>
      <w:r>
        <w:rPr>
          <w:rFonts w:ascii="Arial" w:hAnsi="Arial" w:cs="Arial"/>
          <w:b/>
          <w:bCs/>
          <w:spacing w:val="-2"/>
          <w:sz w:val="23"/>
          <w:szCs w:val="23"/>
          <w:lang w:val="es-ES" w:eastAsia="es-ES"/>
        </w:rPr>
        <w:t>Según lo expuesto tenemos que la Prestación del Servicio Público de</w:t>
      </w:r>
      <w:r>
        <w:rPr>
          <w:rFonts w:ascii="Arial" w:hAnsi="Arial" w:cs="Arial"/>
          <w:b/>
          <w:bCs/>
          <w:spacing w:val="-2"/>
          <w:sz w:val="23"/>
          <w:szCs w:val="23"/>
          <w:lang w:val="es-ES" w:eastAsia="es-ES"/>
        </w:rPr>
        <w:t xml:space="preserve"> Transporte de Personas se encuentra Regulada por el Estado, EL CUAL DEBER EJERCER SUS PODERES DE DIRECCIÓN, CONTROL, VIGILANCIA, ORDEN Y SANCIÓN frente aquellos a quienes ha delegado su prestación, ostente éstos la condición de Concesionarios o Permisiona</w:t>
      </w:r>
      <w:r>
        <w:rPr>
          <w:rFonts w:ascii="Arial" w:hAnsi="Arial" w:cs="Arial"/>
          <w:b/>
          <w:bCs/>
          <w:spacing w:val="-2"/>
          <w:sz w:val="23"/>
          <w:szCs w:val="23"/>
          <w:lang w:val="es-ES" w:eastAsia="es-ES"/>
        </w:rPr>
        <w:t>rios.</w:t>
      </w:r>
    </w:p>
    <w:p w:rsidR="00000000" w:rsidRDefault="00C2177F">
      <w:pPr>
        <w:kinsoku w:val="0"/>
        <w:overflowPunct w:val="0"/>
        <w:autoSpaceDE/>
        <w:autoSpaceDN/>
        <w:adjustRightInd/>
        <w:spacing w:before="556" w:line="323" w:lineRule="exact"/>
        <w:jc w:val="both"/>
        <w:textAlignment w:val="baseline"/>
        <w:rPr>
          <w:rFonts w:ascii="Arial" w:hAnsi="Arial" w:cs="Arial"/>
          <w:sz w:val="23"/>
          <w:szCs w:val="23"/>
          <w:lang w:val="es-ES" w:eastAsia="es-ES"/>
        </w:rPr>
      </w:pPr>
      <w:r>
        <w:rPr>
          <w:rFonts w:ascii="Arial" w:hAnsi="Arial" w:cs="Arial"/>
          <w:sz w:val="23"/>
          <w:szCs w:val="23"/>
          <w:lang w:val="es-ES" w:eastAsia="es-ES"/>
        </w:rPr>
        <w:t>En mérito de todo lo expresado antes y del expediente del caso en particular, no estima este Tribunal como Procedentes ni el Recurso de Apelación conocido, ni la Acción de Nulidad concomitante al mismo. No visualizándose o considerándose la existenci</w:t>
      </w:r>
      <w:r>
        <w:rPr>
          <w:rFonts w:ascii="Arial" w:hAnsi="Arial" w:cs="Arial"/>
          <w:sz w:val="23"/>
          <w:szCs w:val="23"/>
          <w:lang w:val="es-ES" w:eastAsia="es-ES"/>
        </w:rPr>
        <w:t>a de algún Vicio o Falencia en cuanto a alguno de los Elementos Esenciales</w:t>
      </w:r>
    </w:p>
    <w:p w:rsidR="00000000" w:rsidRDefault="00C2177F">
      <w:pPr>
        <w:widowControl/>
        <w:rPr>
          <w:sz w:val="24"/>
          <w:szCs w:val="24"/>
        </w:rPr>
        <w:sectPr w:rsidR="00000000">
          <w:pgSz w:w="12134" w:h="15840"/>
          <w:pgMar w:top="1460" w:right="1588" w:bottom="1140" w:left="1666" w:header="720" w:footer="720" w:gutter="0"/>
          <w:cols w:space="720"/>
          <w:noEndnote/>
        </w:sectPr>
      </w:pPr>
    </w:p>
    <w:p w:rsidR="00000000" w:rsidRDefault="00C2177F">
      <w:pPr>
        <w:kinsoku w:val="0"/>
        <w:overflowPunct w:val="0"/>
        <w:autoSpaceDE/>
        <w:autoSpaceDN/>
        <w:adjustRightInd/>
        <w:spacing w:line="319" w:lineRule="exact"/>
        <w:ind w:right="576"/>
        <w:jc w:val="both"/>
        <w:textAlignment w:val="baseline"/>
        <w:rPr>
          <w:rFonts w:ascii="Tahoma" w:hAnsi="Tahoma" w:cs="Tahoma"/>
          <w:spacing w:val="9"/>
          <w:sz w:val="22"/>
          <w:szCs w:val="22"/>
          <w:lang w:val="es-ES" w:eastAsia="es-ES"/>
        </w:rPr>
      </w:pPr>
      <w:r>
        <w:rPr>
          <w:rFonts w:ascii="Tahoma" w:hAnsi="Tahoma" w:cs="Tahoma"/>
          <w:spacing w:val="9"/>
          <w:sz w:val="22"/>
          <w:szCs w:val="22"/>
          <w:lang w:val="es-ES" w:eastAsia="es-ES"/>
        </w:rPr>
        <w:t>Objetivos, Subjetivos y/o Formales que pueda determinar un Vicio Nugatorio en cuanto a lo actuado en el Caso de marras; así</w:t>
      </w:r>
      <w:r>
        <w:rPr>
          <w:rFonts w:ascii="Tahoma" w:hAnsi="Tahoma" w:cs="Tahoma"/>
          <w:spacing w:val="9"/>
          <w:sz w:val="22"/>
          <w:szCs w:val="22"/>
          <w:lang w:val="es-ES" w:eastAsia="es-ES"/>
        </w:rPr>
        <w:t xml:space="preserve"> como tampoco se determina alguna Infracción a los Derechos Fundamentales de Justicia, Debido Proceso y/o Defensa. Por lo que se determina que No Resultan Procedentes las Acciones que nos han ocupado.</w:t>
      </w:r>
    </w:p>
    <w:p w:rsidR="00000000" w:rsidRDefault="00C2177F">
      <w:pPr>
        <w:kinsoku w:val="0"/>
        <w:overflowPunct w:val="0"/>
        <w:autoSpaceDE/>
        <w:autoSpaceDN/>
        <w:adjustRightInd/>
        <w:spacing w:before="395" w:line="265" w:lineRule="exact"/>
        <w:jc w:val="center"/>
        <w:textAlignment w:val="baseline"/>
        <w:rPr>
          <w:rFonts w:ascii="Arial" w:hAnsi="Arial" w:cs="Arial"/>
          <w:b/>
          <w:bCs/>
          <w:i/>
          <w:iCs/>
          <w:spacing w:val="1"/>
          <w:sz w:val="22"/>
          <w:szCs w:val="22"/>
          <w:lang w:val="es-ES" w:eastAsia="es-ES"/>
        </w:rPr>
      </w:pPr>
      <w:r>
        <w:rPr>
          <w:rFonts w:ascii="Arial" w:hAnsi="Arial" w:cs="Arial"/>
          <w:b/>
          <w:bCs/>
          <w:i/>
          <w:iCs/>
          <w:spacing w:val="1"/>
          <w:sz w:val="22"/>
          <w:szCs w:val="22"/>
          <w:lang w:val="es-ES" w:eastAsia="es-ES"/>
        </w:rPr>
        <w:t>Por Tanto</w:t>
      </w:r>
    </w:p>
    <w:p w:rsidR="00000000" w:rsidRDefault="00C2177F">
      <w:pPr>
        <w:numPr>
          <w:ilvl w:val="0"/>
          <w:numId w:val="5"/>
        </w:numPr>
        <w:kinsoku w:val="0"/>
        <w:overflowPunct w:val="0"/>
        <w:autoSpaceDE/>
        <w:autoSpaceDN/>
        <w:adjustRightInd/>
        <w:spacing w:before="100" w:line="322" w:lineRule="exact"/>
        <w:ind w:right="576"/>
        <w:jc w:val="both"/>
        <w:textAlignment w:val="baseline"/>
        <w:rPr>
          <w:rFonts w:ascii="Tahoma" w:hAnsi="Tahoma" w:cs="Tahoma"/>
          <w:spacing w:val="4"/>
          <w:sz w:val="22"/>
          <w:szCs w:val="22"/>
          <w:lang w:val="es-ES" w:eastAsia="es-ES"/>
        </w:rPr>
      </w:pPr>
      <w:r>
        <w:rPr>
          <w:rFonts w:ascii="Tahoma" w:hAnsi="Tahoma" w:cs="Tahoma"/>
          <w:spacing w:val="4"/>
          <w:sz w:val="22"/>
          <w:szCs w:val="22"/>
          <w:lang w:val="es-ES" w:eastAsia="es-ES"/>
        </w:rPr>
        <w:t>Conforme todo lo acotado en este Acto R</w:t>
      </w:r>
      <w:r>
        <w:rPr>
          <w:rFonts w:ascii="Tahoma" w:hAnsi="Tahoma" w:cs="Tahoma"/>
          <w:spacing w:val="4"/>
          <w:sz w:val="22"/>
          <w:szCs w:val="22"/>
          <w:lang w:val="es-ES" w:eastAsia="es-ES"/>
        </w:rPr>
        <w:t xml:space="preserve">esolutorio, se </w:t>
      </w:r>
      <w:r>
        <w:rPr>
          <w:rFonts w:ascii="Tahoma" w:hAnsi="Tahoma" w:cs="Tahoma"/>
          <w:b/>
          <w:bCs/>
          <w:spacing w:val="4"/>
          <w:sz w:val="22"/>
          <w:szCs w:val="22"/>
          <w:lang w:val="es-ES" w:eastAsia="es-ES"/>
        </w:rPr>
        <w:t xml:space="preserve">RECHAZAN </w:t>
      </w:r>
      <w:r>
        <w:rPr>
          <w:rFonts w:ascii="Tahoma" w:hAnsi="Tahoma" w:cs="Tahoma"/>
          <w:spacing w:val="4"/>
          <w:sz w:val="22"/>
          <w:szCs w:val="22"/>
          <w:lang w:val="es-ES" w:eastAsia="es-ES"/>
        </w:rPr>
        <w:t xml:space="preserve">el </w:t>
      </w:r>
      <w:r>
        <w:rPr>
          <w:rFonts w:ascii="Tahoma" w:hAnsi="Tahoma" w:cs="Tahoma"/>
          <w:b/>
          <w:bCs/>
          <w:spacing w:val="4"/>
          <w:sz w:val="22"/>
          <w:szCs w:val="22"/>
          <w:lang w:val="es-ES" w:eastAsia="es-ES"/>
        </w:rPr>
        <w:t xml:space="preserve">RECURSO DE APELACIÓN EN SUBSIDIO </w:t>
      </w:r>
      <w:r>
        <w:rPr>
          <w:rFonts w:ascii="Tahoma" w:hAnsi="Tahoma" w:cs="Tahoma"/>
          <w:spacing w:val="4"/>
          <w:sz w:val="22"/>
          <w:szCs w:val="22"/>
          <w:lang w:val="es-ES" w:eastAsia="es-ES"/>
        </w:rPr>
        <w:t xml:space="preserve">y la </w:t>
      </w:r>
      <w:r>
        <w:rPr>
          <w:rFonts w:ascii="Tahoma" w:hAnsi="Tahoma" w:cs="Tahoma"/>
          <w:b/>
          <w:bCs/>
          <w:spacing w:val="4"/>
          <w:sz w:val="22"/>
          <w:szCs w:val="22"/>
          <w:lang w:val="es-ES" w:eastAsia="es-ES"/>
        </w:rPr>
        <w:t xml:space="preserve">NULIDAD ABSOLUTA CONCOMITANTE, </w:t>
      </w:r>
      <w:r>
        <w:rPr>
          <w:rFonts w:ascii="Tahoma" w:hAnsi="Tahoma" w:cs="Tahoma"/>
          <w:spacing w:val="4"/>
          <w:sz w:val="22"/>
          <w:szCs w:val="22"/>
          <w:lang w:val="es-ES" w:eastAsia="es-ES"/>
        </w:rPr>
        <w:t xml:space="preserve">presentados por la firma </w:t>
      </w:r>
      <w:r>
        <w:rPr>
          <w:rFonts w:ascii="Tahoma" w:hAnsi="Tahoma" w:cs="Tahoma"/>
          <w:b/>
          <w:bCs/>
          <w:spacing w:val="4"/>
          <w:sz w:val="22"/>
          <w:szCs w:val="22"/>
          <w:lang w:val="es-ES" w:eastAsia="es-ES"/>
        </w:rPr>
        <w:t>B</w:t>
      </w:r>
      <w:r w:rsidR="00031364">
        <w:rPr>
          <w:rFonts w:ascii="Tahoma" w:hAnsi="Tahoma" w:cs="Tahoma"/>
          <w:b/>
          <w:bCs/>
          <w:spacing w:val="4"/>
          <w:sz w:val="22"/>
          <w:szCs w:val="22"/>
          <w:lang w:val="es-ES" w:eastAsia="es-ES"/>
        </w:rPr>
        <w:t>.I.U.S.A.</w:t>
      </w:r>
      <w:r>
        <w:rPr>
          <w:rFonts w:ascii="Tahoma" w:hAnsi="Tahoma" w:cs="Tahoma"/>
          <w:b/>
          <w:bCs/>
          <w:spacing w:val="4"/>
          <w:sz w:val="22"/>
          <w:szCs w:val="22"/>
          <w:lang w:val="es-ES" w:eastAsia="es-ES"/>
        </w:rPr>
        <w:t xml:space="preserve">, </w:t>
      </w:r>
      <w:r>
        <w:rPr>
          <w:rFonts w:ascii="Tahoma" w:hAnsi="Tahoma" w:cs="Tahoma"/>
          <w:spacing w:val="4"/>
          <w:sz w:val="22"/>
          <w:szCs w:val="22"/>
          <w:lang w:val="es-ES" w:eastAsia="es-ES"/>
        </w:rPr>
        <w:t xml:space="preserve">cédula de persona jurídica No. </w:t>
      </w:r>
      <w:r w:rsidR="00031364">
        <w:rPr>
          <w:rFonts w:ascii="Tahoma" w:hAnsi="Tahoma" w:cs="Tahoma"/>
          <w:spacing w:val="4"/>
          <w:sz w:val="22"/>
          <w:szCs w:val="22"/>
          <w:lang w:val="es-ES" w:eastAsia="es-ES"/>
        </w:rPr>
        <w:t>…</w:t>
      </w:r>
      <w:r>
        <w:rPr>
          <w:rFonts w:ascii="Tahoma" w:hAnsi="Tahoma" w:cs="Tahoma"/>
          <w:spacing w:val="4"/>
          <w:sz w:val="22"/>
          <w:szCs w:val="22"/>
          <w:lang w:val="es-ES" w:eastAsia="es-ES"/>
        </w:rPr>
        <w:t>, representada a los efectos por el Señor M</w:t>
      </w:r>
      <w:r w:rsidR="00031364">
        <w:rPr>
          <w:rFonts w:ascii="Tahoma" w:hAnsi="Tahoma" w:cs="Tahoma"/>
          <w:spacing w:val="4"/>
          <w:sz w:val="22"/>
          <w:szCs w:val="22"/>
          <w:lang w:val="es-ES" w:eastAsia="es-ES"/>
        </w:rPr>
        <w:t>.S.S.K.</w:t>
      </w:r>
      <w:r>
        <w:rPr>
          <w:rFonts w:ascii="Tahoma" w:hAnsi="Tahoma" w:cs="Tahoma"/>
          <w:spacing w:val="4"/>
          <w:sz w:val="22"/>
          <w:szCs w:val="22"/>
          <w:lang w:val="es-ES" w:eastAsia="es-ES"/>
        </w:rPr>
        <w:t xml:space="preserve">, de calidades conocidas y portador de la cédula de identidad número </w:t>
      </w:r>
      <w:r w:rsidR="00031364">
        <w:rPr>
          <w:rFonts w:ascii="Tahoma" w:hAnsi="Tahoma" w:cs="Tahoma"/>
          <w:spacing w:val="4"/>
          <w:sz w:val="22"/>
          <w:szCs w:val="22"/>
          <w:lang w:val="es-ES" w:eastAsia="es-ES"/>
        </w:rPr>
        <w:t>…</w:t>
      </w:r>
      <w:r>
        <w:rPr>
          <w:rFonts w:ascii="Tahoma" w:hAnsi="Tahoma" w:cs="Tahoma"/>
          <w:spacing w:val="4"/>
          <w:sz w:val="22"/>
          <w:szCs w:val="22"/>
          <w:lang w:val="es-ES" w:eastAsia="es-ES"/>
        </w:rPr>
        <w:t>, contra el Acuerdo No. 5.1 de la Sesión Ordinaria No. 39-2014 del 23 de Julio del 2014, de la Junta Directiva del Consejo de Transporte Público.</w:t>
      </w:r>
    </w:p>
    <w:p w:rsidR="00000000" w:rsidRDefault="00C2177F">
      <w:pPr>
        <w:numPr>
          <w:ilvl w:val="0"/>
          <w:numId w:val="5"/>
        </w:numPr>
        <w:kinsoku w:val="0"/>
        <w:overflowPunct w:val="0"/>
        <w:autoSpaceDE/>
        <w:autoSpaceDN/>
        <w:adjustRightInd/>
        <w:spacing w:before="321" w:line="322" w:lineRule="exact"/>
        <w:ind w:right="576"/>
        <w:jc w:val="both"/>
        <w:textAlignment w:val="baseline"/>
        <w:rPr>
          <w:rFonts w:ascii="Tahoma" w:hAnsi="Tahoma" w:cs="Tahoma"/>
          <w:sz w:val="22"/>
          <w:szCs w:val="22"/>
          <w:lang w:val="es-ES" w:eastAsia="es-ES"/>
        </w:rPr>
      </w:pPr>
      <w:r>
        <w:rPr>
          <w:rFonts w:ascii="Tahoma" w:hAnsi="Tahoma" w:cs="Tahoma"/>
          <w:sz w:val="22"/>
          <w:szCs w:val="22"/>
          <w:lang w:val="es-ES" w:eastAsia="es-ES"/>
        </w:rPr>
        <w:t>Conforme las determi</w:t>
      </w:r>
      <w:r>
        <w:rPr>
          <w:rFonts w:ascii="Tahoma" w:hAnsi="Tahoma" w:cs="Tahoma"/>
          <w:sz w:val="22"/>
          <w:szCs w:val="22"/>
          <w:lang w:val="es-ES" w:eastAsia="es-ES"/>
        </w:rPr>
        <w:t>naciones del numeral 22, inciso c), de la Ley No. 7969, se da por agotada la vía administrativa, toda vez que contra este acto resolutorio no procede Recurso Ordinario alguno.</w:t>
      </w:r>
    </w:p>
    <w:p w:rsidR="00000000" w:rsidRDefault="00C2177F">
      <w:pPr>
        <w:numPr>
          <w:ilvl w:val="0"/>
          <w:numId w:val="5"/>
        </w:numPr>
        <w:kinsoku w:val="0"/>
        <w:overflowPunct w:val="0"/>
        <w:autoSpaceDE/>
        <w:autoSpaceDN/>
        <w:adjustRightInd/>
        <w:spacing w:before="325" w:line="322" w:lineRule="exact"/>
        <w:ind w:right="576"/>
        <w:jc w:val="both"/>
        <w:textAlignment w:val="baseline"/>
        <w:rPr>
          <w:rFonts w:ascii="Tahoma" w:hAnsi="Tahoma" w:cs="Tahoma"/>
          <w:sz w:val="22"/>
          <w:szCs w:val="22"/>
          <w:lang w:val="es-ES" w:eastAsia="es-ES"/>
        </w:rPr>
      </w:pPr>
      <w:r>
        <w:rPr>
          <w:rFonts w:ascii="Tahoma" w:hAnsi="Tahoma" w:cs="Tahoma"/>
          <w:sz w:val="22"/>
          <w:szCs w:val="22"/>
          <w:lang w:val="es-ES" w:eastAsia="es-ES"/>
        </w:rPr>
        <w:t>Según las disposiciones del artí</w:t>
      </w:r>
      <w:r>
        <w:rPr>
          <w:rFonts w:ascii="Tahoma" w:hAnsi="Tahoma" w:cs="Tahoma"/>
          <w:sz w:val="22"/>
          <w:szCs w:val="22"/>
          <w:lang w:val="es-ES" w:eastAsia="es-ES"/>
        </w:rPr>
        <w:t>culo 16 de la Ley No. 7969, rector en la materia, se recuerda que los fallos de este Tribunal son de Acatamiento Inmediato, Estricto y Obligatorio.</w:t>
      </w:r>
    </w:p>
    <w:p w:rsidR="00000000" w:rsidRDefault="00C2177F">
      <w:pPr>
        <w:numPr>
          <w:ilvl w:val="0"/>
          <w:numId w:val="6"/>
        </w:numPr>
        <w:kinsoku w:val="0"/>
        <w:overflowPunct w:val="0"/>
        <w:autoSpaceDE/>
        <w:autoSpaceDN/>
        <w:adjustRightInd/>
        <w:spacing w:line="642" w:lineRule="exact"/>
        <w:textAlignment w:val="baseline"/>
        <w:rPr>
          <w:rFonts w:ascii="Garamond" w:hAnsi="Garamond" w:cs="Garamond"/>
          <w:b/>
          <w:bCs/>
          <w:i/>
          <w:iCs/>
          <w:lang w:val="es-ES" w:eastAsia="es-ES"/>
        </w:rPr>
      </w:pPr>
      <w:r>
        <w:rPr>
          <w:rFonts w:ascii="Tahoma" w:hAnsi="Tahoma" w:cs="Tahoma"/>
          <w:sz w:val="22"/>
          <w:szCs w:val="22"/>
          <w:lang w:val="es-ES" w:eastAsia="es-ES"/>
        </w:rPr>
        <w:t>Rige a partir de su notificación.</w:t>
      </w:r>
      <w:r>
        <w:rPr>
          <w:rFonts w:ascii="Tahoma" w:hAnsi="Tahoma" w:cs="Tahoma"/>
          <w:sz w:val="22"/>
          <w:szCs w:val="22"/>
          <w:lang w:val="es-ES" w:eastAsia="es-ES"/>
        </w:rPr>
        <w:br/>
      </w:r>
      <w:r w:rsidRPr="00031364">
        <w:rPr>
          <w:rFonts w:ascii="Garamond" w:hAnsi="Garamond" w:cs="Garamond"/>
          <w:b/>
          <w:bCs/>
          <w:i/>
          <w:iCs/>
          <w:lang w:val="es-ES" w:eastAsia="es-ES"/>
        </w:rPr>
        <w:t>NOTIFIQUESE.</w:t>
      </w:r>
    </w:p>
    <w:p w:rsidR="00031364" w:rsidRPr="00A64296" w:rsidRDefault="00031364" w:rsidP="00031364">
      <w:pPr>
        <w:kinsoku w:val="0"/>
        <w:overflowPunct w:val="0"/>
        <w:autoSpaceDE/>
        <w:autoSpaceDN/>
        <w:adjustRightInd/>
        <w:spacing w:before="329" w:after="374" w:line="320" w:lineRule="exact"/>
        <w:ind w:left="142" w:right="72"/>
        <w:jc w:val="center"/>
        <w:textAlignment w:val="baseline"/>
        <w:rPr>
          <w:spacing w:val="12"/>
          <w:sz w:val="24"/>
          <w:szCs w:val="23"/>
        </w:rPr>
      </w:pPr>
      <w:r w:rsidRPr="00A64296">
        <w:rPr>
          <w:spacing w:val="12"/>
          <w:sz w:val="24"/>
          <w:szCs w:val="23"/>
          <w:lang w:val="es-ES" w:eastAsia="es-ES"/>
        </w:rPr>
        <w:t>Lic. Carlos Miguel Portuguez Méndez</w:t>
      </w:r>
    </w:p>
    <w:p w:rsidR="00031364" w:rsidRPr="00A64296" w:rsidRDefault="00031364" w:rsidP="00031364">
      <w:pPr>
        <w:pStyle w:val="Style1"/>
        <w:kinsoku w:val="0"/>
        <w:overflowPunct w:val="0"/>
        <w:autoSpaceDE/>
        <w:autoSpaceDN/>
        <w:adjustRightInd/>
        <w:spacing w:before="204" w:after="301" w:line="288" w:lineRule="exact"/>
        <w:jc w:val="center"/>
        <w:textAlignment w:val="baseline"/>
        <w:rPr>
          <w:rStyle w:val="CharacterStyle1"/>
          <w:b/>
          <w:iCs/>
          <w:spacing w:val="5"/>
          <w:sz w:val="28"/>
        </w:rPr>
      </w:pPr>
      <w:r w:rsidRPr="00A64296">
        <w:rPr>
          <w:rStyle w:val="CharacterStyle1"/>
          <w:b/>
          <w:iCs/>
          <w:spacing w:val="5"/>
          <w:sz w:val="28"/>
        </w:rPr>
        <w:t>P</w:t>
      </w:r>
      <w:r>
        <w:rPr>
          <w:rStyle w:val="CharacterStyle1"/>
          <w:b/>
          <w:iCs/>
          <w:spacing w:val="5"/>
          <w:sz w:val="28"/>
        </w:rPr>
        <w:t>residente</w:t>
      </w:r>
      <w:r w:rsidRPr="00A64296">
        <w:rPr>
          <w:rStyle w:val="CharacterStyle1"/>
          <w:b/>
          <w:iCs/>
          <w:spacing w:val="5"/>
          <w:sz w:val="28"/>
        </w:rPr>
        <w:t xml:space="preserve"> </w:t>
      </w:r>
    </w:p>
    <w:p w:rsidR="00031364" w:rsidRPr="00A64296" w:rsidRDefault="00031364" w:rsidP="00031364">
      <w:pPr>
        <w:tabs>
          <w:tab w:val="left" w:pos="720"/>
        </w:tabs>
        <w:kinsoku w:val="0"/>
        <w:overflowPunct w:val="0"/>
        <w:autoSpaceDE/>
        <w:autoSpaceDN/>
        <w:adjustRightInd/>
        <w:spacing w:before="326" w:line="323" w:lineRule="exact"/>
        <w:ind w:right="360"/>
        <w:jc w:val="center"/>
        <w:textAlignment w:val="baseline"/>
        <w:rPr>
          <w:sz w:val="36"/>
          <w:szCs w:val="24"/>
        </w:rPr>
      </w:pPr>
      <w:r w:rsidRPr="00A64296">
        <w:rPr>
          <w:rStyle w:val="CharacterStyle1"/>
          <w:rFonts w:ascii="Verdana" w:hAnsi="Verdana"/>
          <w:b/>
          <w:i/>
          <w:iCs/>
          <w:spacing w:val="5"/>
          <w:sz w:val="22"/>
        </w:rPr>
        <w:t xml:space="preserve"> </w:t>
      </w:r>
      <w:proofErr w:type="spellStart"/>
      <w:proofErr w:type="gramStart"/>
      <w:r w:rsidRPr="00A64296">
        <w:rPr>
          <w:rStyle w:val="CharacterStyle1"/>
          <w:iCs/>
          <w:spacing w:val="5"/>
          <w:sz w:val="28"/>
        </w:rPr>
        <w:t>Licda</w:t>
      </w:r>
      <w:proofErr w:type="spellEnd"/>
      <w:r w:rsidRPr="00A64296">
        <w:rPr>
          <w:rStyle w:val="CharacterStyle1"/>
          <w:iCs/>
          <w:spacing w:val="5"/>
          <w:sz w:val="28"/>
        </w:rPr>
        <w:t>.</w:t>
      </w:r>
      <w:proofErr w:type="gramEnd"/>
      <w:r w:rsidRPr="00A64296">
        <w:rPr>
          <w:rStyle w:val="CharacterStyle1"/>
          <w:iCs/>
          <w:spacing w:val="5"/>
          <w:sz w:val="28"/>
        </w:rPr>
        <w:t xml:space="preserve"> </w:t>
      </w:r>
      <w:proofErr w:type="gramStart"/>
      <w:r w:rsidRPr="00A64296">
        <w:rPr>
          <w:rStyle w:val="CharacterStyle1"/>
          <w:iCs/>
          <w:spacing w:val="5"/>
          <w:sz w:val="28"/>
        </w:rPr>
        <w:t xml:space="preserve">Marta Luz </w:t>
      </w:r>
      <w:proofErr w:type="spellStart"/>
      <w:r w:rsidRPr="00A64296">
        <w:rPr>
          <w:rStyle w:val="CharacterStyle1"/>
          <w:iCs/>
          <w:spacing w:val="5"/>
          <w:sz w:val="28"/>
        </w:rPr>
        <w:t>Pérez</w:t>
      </w:r>
      <w:proofErr w:type="spellEnd"/>
      <w:r w:rsidRPr="00A64296">
        <w:rPr>
          <w:rStyle w:val="CharacterStyle1"/>
          <w:iCs/>
          <w:spacing w:val="5"/>
          <w:sz w:val="28"/>
        </w:rPr>
        <w:t xml:space="preserve"> </w:t>
      </w:r>
      <w:proofErr w:type="spellStart"/>
      <w:r w:rsidRPr="00A64296">
        <w:rPr>
          <w:rStyle w:val="CharacterStyle1"/>
          <w:iCs/>
          <w:spacing w:val="5"/>
          <w:sz w:val="28"/>
        </w:rPr>
        <w:t>Peláez</w:t>
      </w:r>
      <w:proofErr w:type="spellEnd"/>
      <w:r w:rsidRPr="00A64296">
        <w:rPr>
          <w:rStyle w:val="CharacterStyle1"/>
          <w:iCs/>
          <w:spacing w:val="5"/>
          <w:sz w:val="28"/>
        </w:rPr>
        <w:t xml:space="preserve"> </w:t>
      </w:r>
      <w:r>
        <w:rPr>
          <w:rStyle w:val="CharacterStyle1"/>
          <w:iCs/>
          <w:spacing w:val="5"/>
          <w:sz w:val="28"/>
        </w:rPr>
        <w:t xml:space="preserve">                    </w:t>
      </w:r>
      <w:r w:rsidRPr="00A64296">
        <w:rPr>
          <w:rStyle w:val="CharacterStyle1"/>
          <w:iCs/>
          <w:spacing w:val="5"/>
          <w:sz w:val="28"/>
        </w:rPr>
        <w:t xml:space="preserve">       Lic.</w:t>
      </w:r>
      <w:proofErr w:type="gramEnd"/>
      <w:r w:rsidRPr="00A64296">
        <w:rPr>
          <w:rStyle w:val="CharacterStyle1"/>
          <w:iCs/>
          <w:spacing w:val="5"/>
          <w:sz w:val="28"/>
        </w:rPr>
        <w:t xml:space="preserve"> Mario Quesada Aguirre </w:t>
      </w:r>
      <w:r w:rsidRPr="00A64296">
        <w:rPr>
          <w:rStyle w:val="CharacterStyle1"/>
          <w:rFonts w:ascii="Verdana" w:hAnsi="Verdana"/>
          <w:b/>
          <w:i/>
          <w:iCs/>
          <w:spacing w:val="5"/>
          <w:sz w:val="22"/>
        </w:rPr>
        <w:t xml:space="preserve">             </w:t>
      </w:r>
      <w:proofErr w:type="spellStart"/>
      <w:r>
        <w:rPr>
          <w:rStyle w:val="CharacterStyle1"/>
          <w:b/>
          <w:iCs/>
          <w:spacing w:val="5"/>
          <w:sz w:val="28"/>
        </w:rPr>
        <w:t>Jueza</w:t>
      </w:r>
      <w:proofErr w:type="spellEnd"/>
      <w:r>
        <w:rPr>
          <w:rStyle w:val="CharacterStyle1"/>
          <w:b/>
          <w:iCs/>
          <w:spacing w:val="5"/>
          <w:sz w:val="28"/>
        </w:rPr>
        <w:t xml:space="preserve"> </w:t>
      </w:r>
      <w:r>
        <w:rPr>
          <w:rStyle w:val="CharacterStyle1"/>
          <w:b/>
          <w:iCs/>
          <w:spacing w:val="5"/>
          <w:sz w:val="28"/>
        </w:rPr>
        <w:tab/>
        <w:t xml:space="preserve"> </w:t>
      </w:r>
      <w:r>
        <w:rPr>
          <w:rStyle w:val="CharacterStyle1"/>
          <w:b/>
          <w:iCs/>
          <w:spacing w:val="5"/>
          <w:sz w:val="28"/>
        </w:rPr>
        <w:tab/>
      </w:r>
      <w:r w:rsidRPr="00A64296">
        <w:rPr>
          <w:rStyle w:val="CharacterStyle1"/>
          <w:b/>
          <w:iCs/>
          <w:spacing w:val="5"/>
          <w:sz w:val="28"/>
        </w:rPr>
        <w:tab/>
      </w:r>
      <w:r w:rsidRPr="00A64296">
        <w:rPr>
          <w:rStyle w:val="CharacterStyle1"/>
          <w:b/>
          <w:iCs/>
          <w:spacing w:val="5"/>
          <w:sz w:val="28"/>
        </w:rPr>
        <w:tab/>
      </w:r>
      <w:r w:rsidRPr="00A64296">
        <w:rPr>
          <w:rStyle w:val="CharacterStyle1"/>
          <w:b/>
          <w:iCs/>
          <w:spacing w:val="5"/>
          <w:sz w:val="28"/>
        </w:rPr>
        <w:tab/>
      </w:r>
      <w:r w:rsidRPr="00A64296">
        <w:rPr>
          <w:rStyle w:val="CharacterStyle1"/>
          <w:b/>
          <w:iCs/>
          <w:spacing w:val="5"/>
          <w:sz w:val="28"/>
        </w:rPr>
        <w:tab/>
        <w:t xml:space="preserve">   J</w:t>
      </w:r>
      <w:r>
        <w:rPr>
          <w:rStyle w:val="CharacterStyle1"/>
          <w:b/>
          <w:iCs/>
          <w:spacing w:val="5"/>
          <w:sz w:val="28"/>
        </w:rPr>
        <w:t>uez</w:t>
      </w:r>
    </w:p>
    <w:p w:rsidR="00031364" w:rsidRDefault="00031364" w:rsidP="00031364">
      <w:pPr>
        <w:kinsoku w:val="0"/>
        <w:overflowPunct w:val="0"/>
        <w:autoSpaceDE/>
        <w:autoSpaceDN/>
        <w:adjustRightInd/>
        <w:spacing w:line="642" w:lineRule="exact"/>
        <w:textAlignment w:val="baseline"/>
        <w:rPr>
          <w:rFonts w:ascii="Garamond" w:hAnsi="Garamond" w:cs="Garamond"/>
          <w:b/>
          <w:bCs/>
          <w:i/>
          <w:iCs/>
          <w:lang w:val="es-ES" w:eastAsia="es-ES"/>
        </w:rPr>
      </w:pPr>
    </w:p>
    <w:sectPr w:rsidR="00031364" w:rsidSect="00031364">
      <w:pgSz w:w="12134" w:h="15840"/>
      <w:pgMar w:top="1400" w:right="969" w:bottom="709" w:left="168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F155C"/>
    <w:multiLevelType w:val="singleLevel"/>
    <w:tmpl w:val="23ABA494"/>
    <w:lvl w:ilvl="0">
      <w:start w:val="1"/>
      <w:numFmt w:val="lowerLetter"/>
      <w:lvlText w:val="%1)"/>
      <w:lvlJc w:val="left"/>
      <w:pPr>
        <w:tabs>
          <w:tab w:val="num" w:pos="936"/>
        </w:tabs>
        <w:ind w:left="576"/>
      </w:pPr>
      <w:rPr>
        <w:rFonts w:ascii="Arial" w:hAnsi="Arial" w:cs="Arial"/>
        <w:i/>
        <w:iCs/>
        <w:snapToGrid/>
        <w:sz w:val="23"/>
        <w:szCs w:val="23"/>
      </w:rPr>
    </w:lvl>
  </w:abstractNum>
  <w:abstractNum w:abstractNumId="1">
    <w:nsid w:val="054F94EF"/>
    <w:multiLevelType w:val="singleLevel"/>
    <w:tmpl w:val="1E96BB88"/>
    <w:lvl w:ilvl="0">
      <w:start w:val="1"/>
      <w:numFmt w:val="decimal"/>
      <w:lvlText w:val="%1.-"/>
      <w:lvlJc w:val="left"/>
      <w:pPr>
        <w:tabs>
          <w:tab w:val="num" w:pos="720"/>
        </w:tabs>
      </w:pPr>
      <w:rPr>
        <w:rFonts w:ascii="Tahoma" w:hAnsi="Tahoma" w:cs="Tahoma"/>
        <w:b/>
        <w:snapToGrid/>
        <w:spacing w:val="7"/>
        <w:sz w:val="22"/>
        <w:szCs w:val="22"/>
      </w:rPr>
    </w:lvl>
  </w:abstractNum>
  <w:abstractNum w:abstractNumId="2">
    <w:nsid w:val="06CCF171"/>
    <w:multiLevelType w:val="singleLevel"/>
    <w:tmpl w:val="60DC68BA"/>
    <w:lvl w:ilvl="0">
      <w:start w:val="1"/>
      <w:numFmt w:val="upperRoman"/>
      <w:lvlText w:val="%1.-"/>
      <w:lvlJc w:val="left"/>
      <w:pPr>
        <w:tabs>
          <w:tab w:val="num" w:pos="720"/>
        </w:tabs>
      </w:pPr>
      <w:rPr>
        <w:rFonts w:ascii="Tahoma" w:hAnsi="Tahoma" w:cs="Tahoma"/>
        <w:b/>
        <w:snapToGrid/>
        <w:spacing w:val="4"/>
        <w:sz w:val="22"/>
        <w:szCs w:val="22"/>
      </w:rPr>
    </w:lvl>
  </w:abstractNum>
  <w:abstractNum w:abstractNumId="3">
    <w:nsid w:val="079888F7"/>
    <w:multiLevelType w:val="singleLevel"/>
    <w:tmpl w:val="10945F6C"/>
    <w:lvl w:ilvl="0">
      <w:start w:val="1"/>
      <w:numFmt w:val="lowerLetter"/>
      <w:lvlText w:val="%1)"/>
      <w:lvlJc w:val="left"/>
      <w:pPr>
        <w:tabs>
          <w:tab w:val="num" w:pos="864"/>
        </w:tabs>
        <w:ind w:left="576"/>
      </w:pPr>
      <w:rPr>
        <w:rFonts w:ascii="Arial" w:hAnsi="Arial" w:cs="Arial"/>
        <w:i/>
        <w:iCs/>
        <w:snapToGrid/>
        <w:spacing w:val="3"/>
        <w:sz w:val="23"/>
        <w:szCs w:val="23"/>
      </w:rPr>
    </w:lvl>
  </w:abstractNum>
  <w:abstractNum w:abstractNumId="4">
    <w:nsid w:val="07BC064E"/>
    <w:multiLevelType w:val="singleLevel"/>
    <w:tmpl w:val="D114ACCA"/>
    <w:lvl w:ilvl="0">
      <w:start w:val="3"/>
      <w:numFmt w:val="decimal"/>
      <w:lvlText w:val="%1.-"/>
      <w:lvlJc w:val="left"/>
      <w:pPr>
        <w:tabs>
          <w:tab w:val="num" w:pos="792"/>
        </w:tabs>
        <w:ind w:left="72"/>
      </w:pPr>
      <w:rPr>
        <w:rFonts w:ascii="Tahoma" w:hAnsi="Tahoma" w:cs="Tahoma"/>
        <w:b/>
        <w:snapToGrid/>
        <w:spacing w:val="7"/>
        <w:sz w:val="22"/>
        <w:szCs w:val="22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2"/>
    <w:lvlOverride w:ilvl="0">
      <w:lvl w:ilvl="0">
        <w:numFmt w:val="upperRoman"/>
        <w:lvlText w:val="%1.-"/>
        <w:lvlJc w:val="left"/>
        <w:pPr>
          <w:tabs>
            <w:tab w:val="num" w:pos="720"/>
          </w:tabs>
        </w:pPr>
        <w:rPr>
          <w:rFonts w:ascii="Tahoma" w:hAnsi="Tahoma" w:cs="Tahoma"/>
          <w:snapToGrid/>
          <w:sz w:val="22"/>
          <w:szCs w:val="2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FB4E03"/>
    <w:rsid w:val="00031364"/>
    <w:rsid w:val="00C2177F"/>
    <w:rsid w:val="00FB4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031364"/>
    <w:rPr>
      <w:lang w:val="es-CR"/>
    </w:rPr>
  </w:style>
  <w:style w:type="character" w:customStyle="1" w:styleId="CharacterStyle1">
    <w:name w:val="Character Style 1"/>
    <w:uiPriority w:val="99"/>
    <w:rsid w:val="0003136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2134</Words>
  <Characters>11739</Characters>
  <Application>Microsoft Office Word</Application>
  <DocSecurity>0</DocSecurity>
  <Lines>97</Lines>
  <Paragraphs>27</Paragraphs>
  <ScaleCrop>false</ScaleCrop>
  <Company/>
  <LinksUpToDate>false</LinksUpToDate>
  <CharactersWithSpaces>13846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2</cp:revision>
  <dcterms:created xsi:type="dcterms:W3CDTF">2016-02-01T21:10:00Z</dcterms:created>
  <dcterms:modified xsi:type="dcterms:W3CDTF">2016-02-01T21:10:00Z</dcterms:modified>
</cp:coreProperties>
</file>